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2B062" w14:textId="1FC05549" w:rsidR="009A604E" w:rsidRDefault="009A604E">
      <w:pPr>
        <w:ind w:right="283"/>
        <w:jc w:val="left"/>
        <w:rPr>
          <w:b/>
          <w:sz w:val="28"/>
          <w:szCs w:val="28"/>
        </w:rPr>
      </w:pPr>
    </w:p>
    <w:p w14:paraId="5CC03E74" w14:textId="112835FF" w:rsidR="006967B4" w:rsidRPr="009A604E" w:rsidRDefault="001115C3">
      <w:pPr>
        <w:ind w:right="283"/>
        <w:jc w:val="left"/>
        <w:rPr>
          <w:b/>
          <w:sz w:val="28"/>
          <w:szCs w:val="28"/>
          <w:lang w:val="id-ID"/>
        </w:rPr>
      </w:pPr>
      <w:r w:rsidRPr="009A604E">
        <w:rPr>
          <w:b/>
          <w:sz w:val="28"/>
          <w:szCs w:val="28"/>
        </w:rPr>
        <w:t>Business Strategy and Corporate Governance Practices: The Experience of Multinational Companies in Implementing Sustainable Governance Policies</w:t>
      </w:r>
      <w:r w:rsidR="00F70A46" w:rsidRPr="009A604E">
        <w:rPr>
          <w:b/>
          <w:sz w:val="28"/>
          <w:szCs w:val="28"/>
          <w:lang w:val="id-ID"/>
        </w:rPr>
        <w:t>:</w:t>
      </w:r>
      <w:r w:rsidR="00F70A46" w:rsidRPr="009A604E">
        <w:t xml:space="preserve"> </w:t>
      </w:r>
      <w:r w:rsidR="00F70A46" w:rsidRPr="009A604E">
        <w:rPr>
          <w:b/>
          <w:sz w:val="28"/>
          <w:szCs w:val="28"/>
          <w:lang w:val="id-ID"/>
        </w:rPr>
        <w:t>A Phenomenological Approach</w:t>
      </w:r>
    </w:p>
    <w:p w14:paraId="5628C80C" w14:textId="64D6F39C" w:rsidR="006967B4" w:rsidRPr="009A604E" w:rsidRDefault="006967B4">
      <w:pPr>
        <w:jc w:val="left"/>
        <w:rPr>
          <w:b/>
          <w:sz w:val="22"/>
          <w:szCs w:val="22"/>
        </w:rPr>
      </w:pPr>
    </w:p>
    <w:p w14:paraId="46AEB071" w14:textId="77777777" w:rsidR="009A604E" w:rsidRPr="00766B59" w:rsidRDefault="009A604E" w:rsidP="009A604E">
      <w:pPr>
        <w:ind w:right="-188"/>
        <w:jc w:val="left"/>
        <w:rPr>
          <w:b/>
          <w:sz w:val="22"/>
          <w:szCs w:val="22"/>
          <w:lang w:val="id-ID"/>
        </w:rPr>
      </w:pPr>
      <w:proofErr w:type="spellStart"/>
      <w:r w:rsidRPr="001115C3">
        <w:rPr>
          <w:b/>
          <w:sz w:val="22"/>
          <w:szCs w:val="22"/>
        </w:rPr>
        <w:t>Asep</w:t>
      </w:r>
      <w:proofErr w:type="spellEnd"/>
      <w:r w:rsidRPr="001115C3">
        <w:rPr>
          <w:b/>
          <w:sz w:val="22"/>
          <w:szCs w:val="22"/>
        </w:rPr>
        <w:t xml:space="preserve"> </w:t>
      </w:r>
      <w:proofErr w:type="spellStart"/>
      <w:r w:rsidRPr="001115C3">
        <w:rPr>
          <w:b/>
          <w:sz w:val="22"/>
          <w:szCs w:val="22"/>
        </w:rPr>
        <w:t>Supriadi</w:t>
      </w:r>
      <w:proofErr w:type="spellEnd"/>
      <w:r>
        <w:rPr>
          <w:b/>
          <w:sz w:val="22"/>
          <w:szCs w:val="22"/>
        </w:rPr>
        <w:t xml:space="preserve"> </w:t>
      </w:r>
    </w:p>
    <w:p w14:paraId="36B3B478" w14:textId="77777777" w:rsidR="009A604E" w:rsidRDefault="00031BA5" w:rsidP="009A604E">
      <w:pPr>
        <w:jc w:val="left"/>
        <w:rPr>
          <w:sz w:val="20"/>
          <w:szCs w:val="20"/>
        </w:rPr>
      </w:pPr>
      <w:sdt>
        <w:sdtPr>
          <w:rPr>
            <w:rFonts w:asciiTheme="majorBidi" w:hAnsiTheme="majorBidi" w:cstheme="majorBidi"/>
          </w:rPr>
          <w:tag w:val="goog_rdk_1"/>
          <w:id w:val="-1641257944"/>
        </w:sdtPr>
        <w:sdtEndPr>
          <w:rPr>
            <w:rFonts w:ascii="Times New Roman" w:hAnsi="Times New Roman" w:cs="Times New Roman"/>
          </w:rPr>
        </w:sdtEndPr>
        <w:sdtContent>
          <w:proofErr w:type="spellStart"/>
          <w:r w:rsidR="009A604E" w:rsidRPr="00E2423A">
            <w:rPr>
              <w:rFonts w:asciiTheme="majorBidi" w:eastAsia="Cardo" w:hAnsiTheme="majorBidi" w:cstheme="majorBidi"/>
              <w:sz w:val="20"/>
              <w:szCs w:val="20"/>
            </w:rPr>
            <w:t>Universitas</w:t>
          </w:r>
          <w:proofErr w:type="spellEnd"/>
          <w:r w:rsidR="009A604E" w:rsidRPr="00E2423A">
            <w:rPr>
              <w:rFonts w:asciiTheme="majorBidi" w:eastAsia="Cardo" w:hAnsiTheme="majorBidi" w:cstheme="majorBidi"/>
              <w:sz w:val="20"/>
              <w:szCs w:val="20"/>
            </w:rPr>
            <w:t xml:space="preserve"> Sultan </w:t>
          </w:r>
          <w:proofErr w:type="spellStart"/>
          <w:r w:rsidR="009A604E" w:rsidRPr="00E2423A">
            <w:rPr>
              <w:rFonts w:asciiTheme="majorBidi" w:eastAsia="Cardo" w:hAnsiTheme="majorBidi" w:cstheme="majorBidi"/>
              <w:sz w:val="20"/>
              <w:szCs w:val="20"/>
            </w:rPr>
            <w:t>Ageng</w:t>
          </w:r>
          <w:proofErr w:type="spellEnd"/>
          <w:r w:rsidR="009A604E" w:rsidRPr="00E2423A">
            <w:rPr>
              <w:rFonts w:asciiTheme="majorBidi" w:eastAsia="Cardo" w:hAnsiTheme="majorBidi" w:cstheme="majorBidi"/>
              <w:sz w:val="20"/>
              <w:szCs w:val="20"/>
            </w:rPr>
            <w:t xml:space="preserve"> </w:t>
          </w:r>
          <w:proofErr w:type="spellStart"/>
          <w:r w:rsidR="009A604E" w:rsidRPr="00E2423A">
            <w:rPr>
              <w:rFonts w:asciiTheme="majorBidi" w:eastAsia="Cardo" w:hAnsiTheme="majorBidi" w:cstheme="majorBidi"/>
              <w:sz w:val="20"/>
              <w:szCs w:val="20"/>
            </w:rPr>
            <w:t>Tirtayasa</w:t>
          </w:r>
          <w:proofErr w:type="spellEnd"/>
          <w:r w:rsidR="009A604E" w:rsidRPr="00E2423A">
            <w:rPr>
              <w:rFonts w:asciiTheme="majorBidi" w:eastAsia="Cardo" w:hAnsiTheme="majorBidi" w:cstheme="majorBidi"/>
              <w:sz w:val="20"/>
              <w:szCs w:val="20"/>
            </w:rPr>
            <w:t>, Indonesia</w:t>
          </w:r>
        </w:sdtContent>
      </w:sdt>
    </w:p>
    <w:p w14:paraId="0D8B7E14" w14:textId="207DA06D" w:rsidR="006967B4" w:rsidRPr="009A604E" w:rsidRDefault="00031BA5" w:rsidP="009A604E">
      <w:pPr>
        <w:spacing w:after="240"/>
        <w:jc w:val="left"/>
        <w:rPr>
          <w:i/>
          <w:sz w:val="20"/>
          <w:szCs w:val="20"/>
        </w:rPr>
      </w:pPr>
      <w:hyperlink r:id="rId9" w:history="1">
        <w:r w:rsidR="009A604E" w:rsidRPr="00E2423A">
          <w:rPr>
            <w:rStyle w:val="Hyperlink"/>
            <w:sz w:val="20"/>
            <w:szCs w:val="20"/>
          </w:rPr>
          <w:t>asep.research@untirta.ac.id</w:t>
        </w:r>
      </w:hyperlink>
      <w:r w:rsidR="009A604E">
        <w:t xml:space="preserve"> </w:t>
      </w:r>
      <w:r w:rsidR="009A604E">
        <w:rPr>
          <w:i/>
          <w:sz w:val="20"/>
          <w:szCs w:val="20"/>
        </w:rPr>
        <w:t xml:space="preserve"> </w:t>
      </w:r>
      <w:r w:rsidR="006504D9" w:rsidRPr="009A604E">
        <w:rPr>
          <w:i/>
          <w:sz w:val="20"/>
          <w:szCs w:val="20"/>
        </w:rPr>
        <w:t xml:space="preserve"> </w:t>
      </w:r>
    </w:p>
    <w:tbl>
      <w:tblPr>
        <w:tblStyle w:val="a3"/>
        <w:tblW w:w="9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26"/>
        <w:gridCol w:w="6364"/>
        <w:gridCol w:w="438"/>
        <w:gridCol w:w="236"/>
      </w:tblGrid>
      <w:tr w:rsidR="006967B4" w:rsidRPr="009A604E" w14:paraId="7CDBF180" w14:textId="77777777">
        <w:trPr>
          <w:gridAfter w:val="2"/>
          <w:wAfter w:w="674" w:type="dxa"/>
        </w:trPr>
        <w:tc>
          <w:tcPr>
            <w:tcW w:w="2268" w:type="dxa"/>
            <w:tcBorders>
              <w:top w:val="single" w:sz="4" w:space="0" w:color="000000"/>
              <w:left w:val="nil"/>
              <w:bottom w:val="single" w:sz="4" w:space="0" w:color="000000"/>
              <w:right w:val="nil"/>
            </w:tcBorders>
          </w:tcPr>
          <w:p w14:paraId="3B708E3F" w14:textId="77777777" w:rsidR="006967B4" w:rsidRPr="009A604E" w:rsidRDefault="006504D9">
            <w:pPr>
              <w:spacing w:after="160" w:line="259" w:lineRule="auto"/>
              <w:rPr>
                <w:b/>
                <w:sz w:val="22"/>
                <w:szCs w:val="22"/>
              </w:rPr>
            </w:pPr>
            <w:r w:rsidRPr="009A604E">
              <w:rPr>
                <w:b/>
                <w:sz w:val="22"/>
                <w:szCs w:val="22"/>
              </w:rPr>
              <w:t>Article Info</w:t>
            </w:r>
          </w:p>
        </w:tc>
        <w:tc>
          <w:tcPr>
            <w:tcW w:w="426" w:type="dxa"/>
            <w:tcBorders>
              <w:top w:val="single" w:sz="4" w:space="0" w:color="000000"/>
              <w:left w:val="nil"/>
              <w:bottom w:val="nil"/>
              <w:right w:val="nil"/>
            </w:tcBorders>
          </w:tcPr>
          <w:p w14:paraId="680DDD94" w14:textId="77777777" w:rsidR="006967B4" w:rsidRPr="009A604E" w:rsidRDefault="006967B4">
            <w:pPr>
              <w:spacing w:after="160" w:line="259" w:lineRule="auto"/>
              <w:jc w:val="center"/>
              <w:rPr>
                <w:sz w:val="22"/>
                <w:szCs w:val="22"/>
              </w:rPr>
            </w:pPr>
          </w:p>
        </w:tc>
        <w:tc>
          <w:tcPr>
            <w:tcW w:w="6364" w:type="dxa"/>
            <w:tcBorders>
              <w:top w:val="single" w:sz="4" w:space="0" w:color="000000"/>
              <w:left w:val="nil"/>
              <w:bottom w:val="single" w:sz="4" w:space="0" w:color="000000"/>
              <w:right w:val="nil"/>
            </w:tcBorders>
          </w:tcPr>
          <w:p w14:paraId="76FA56AC" w14:textId="77777777" w:rsidR="006967B4" w:rsidRPr="009A604E" w:rsidRDefault="006504D9">
            <w:pPr>
              <w:spacing w:after="160" w:line="259" w:lineRule="auto"/>
              <w:jc w:val="left"/>
              <w:rPr>
                <w:color w:val="000000"/>
              </w:rPr>
            </w:pPr>
            <w:r w:rsidRPr="009A604E">
              <w:rPr>
                <w:b/>
                <w:color w:val="000000"/>
                <w:sz w:val="22"/>
                <w:szCs w:val="22"/>
              </w:rPr>
              <w:t xml:space="preserve">ABSTRACT </w:t>
            </w:r>
          </w:p>
        </w:tc>
      </w:tr>
      <w:tr w:rsidR="006967B4" w:rsidRPr="009A604E" w14:paraId="4851BD71" w14:textId="77777777">
        <w:trPr>
          <w:gridAfter w:val="2"/>
          <w:wAfter w:w="674" w:type="dxa"/>
          <w:trHeight w:val="1268"/>
        </w:trPr>
        <w:tc>
          <w:tcPr>
            <w:tcW w:w="2268" w:type="dxa"/>
            <w:tcBorders>
              <w:top w:val="single" w:sz="4" w:space="0" w:color="000000"/>
              <w:left w:val="nil"/>
              <w:bottom w:val="single" w:sz="4" w:space="0" w:color="000000"/>
              <w:right w:val="nil"/>
            </w:tcBorders>
          </w:tcPr>
          <w:p w14:paraId="1CCCC6CB" w14:textId="77777777" w:rsidR="006967B4" w:rsidRPr="009A604E" w:rsidRDefault="006504D9">
            <w:pPr>
              <w:spacing w:line="259" w:lineRule="auto"/>
              <w:rPr>
                <w:b/>
                <w:i/>
                <w:sz w:val="22"/>
                <w:szCs w:val="22"/>
              </w:rPr>
            </w:pPr>
            <w:r w:rsidRPr="009A604E">
              <w:rPr>
                <w:b/>
                <w:i/>
                <w:sz w:val="22"/>
                <w:szCs w:val="22"/>
              </w:rPr>
              <w:t>Article history:</w:t>
            </w:r>
          </w:p>
          <w:p w14:paraId="3E66D181" w14:textId="77777777" w:rsidR="00827A67" w:rsidRPr="00827A67" w:rsidRDefault="00827A67" w:rsidP="00827A67">
            <w:pPr>
              <w:spacing w:line="259" w:lineRule="auto"/>
              <w:rPr>
                <w:sz w:val="18"/>
                <w:szCs w:val="18"/>
              </w:rPr>
            </w:pPr>
            <w:r w:rsidRPr="00827A67">
              <w:rPr>
                <w:sz w:val="18"/>
                <w:szCs w:val="18"/>
              </w:rPr>
              <w:t>Received 17-12-2024</w:t>
            </w:r>
          </w:p>
          <w:p w14:paraId="09800800" w14:textId="77777777" w:rsidR="00827A67" w:rsidRPr="00827A67" w:rsidRDefault="00827A67" w:rsidP="00827A67">
            <w:pPr>
              <w:spacing w:line="259" w:lineRule="auto"/>
              <w:rPr>
                <w:sz w:val="18"/>
                <w:szCs w:val="18"/>
              </w:rPr>
            </w:pPr>
            <w:r w:rsidRPr="00827A67">
              <w:rPr>
                <w:sz w:val="18"/>
                <w:szCs w:val="18"/>
              </w:rPr>
              <w:t>Revised 08-01-2025</w:t>
            </w:r>
          </w:p>
          <w:p w14:paraId="54924E2A" w14:textId="0FBF9C14" w:rsidR="006967B4" w:rsidRPr="009A604E" w:rsidRDefault="00827A67" w:rsidP="00827A67">
            <w:pPr>
              <w:spacing w:line="259" w:lineRule="auto"/>
              <w:rPr>
                <w:sz w:val="18"/>
                <w:szCs w:val="18"/>
              </w:rPr>
            </w:pPr>
            <w:r w:rsidRPr="00827A67">
              <w:rPr>
                <w:sz w:val="18"/>
                <w:szCs w:val="18"/>
              </w:rPr>
              <w:t>Accepted 15-01-2025</w:t>
            </w:r>
          </w:p>
          <w:p w14:paraId="0BCD8B36" w14:textId="77777777" w:rsidR="006967B4" w:rsidRPr="009A604E" w:rsidRDefault="006967B4">
            <w:pPr>
              <w:spacing w:line="259" w:lineRule="auto"/>
              <w:rPr>
                <w:sz w:val="22"/>
                <w:szCs w:val="22"/>
              </w:rPr>
            </w:pPr>
          </w:p>
        </w:tc>
        <w:tc>
          <w:tcPr>
            <w:tcW w:w="426" w:type="dxa"/>
            <w:vMerge w:val="restart"/>
            <w:tcBorders>
              <w:top w:val="nil"/>
              <w:left w:val="nil"/>
              <w:bottom w:val="nil"/>
              <w:right w:val="nil"/>
            </w:tcBorders>
          </w:tcPr>
          <w:p w14:paraId="676243F2" w14:textId="77777777" w:rsidR="006967B4" w:rsidRPr="009A604E" w:rsidRDefault="006967B4">
            <w:pPr>
              <w:spacing w:line="259" w:lineRule="auto"/>
              <w:rPr>
                <w:sz w:val="22"/>
                <w:szCs w:val="22"/>
              </w:rPr>
            </w:pPr>
          </w:p>
        </w:tc>
        <w:tc>
          <w:tcPr>
            <w:tcW w:w="6364" w:type="dxa"/>
            <w:vMerge w:val="restart"/>
            <w:tcBorders>
              <w:top w:val="single" w:sz="4" w:space="0" w:color="000000"/>
              <w:left w:val="nil"/>
              <w:bottom w:val="nil"/>
              <w:right w:val="nil"/>
            </w:tcBorders>
          </w:tcPr>
          <w:p w14:paraId="3FD596FF" w14:textId="09BF2609" w:rsidR="006967B4" w:rsidRPr="009A604E" w:rsidRDefault="001115C3" w:rsidP="00827A67">
            <w:pPr>
              <w:ind w:right="129"/>
              <w:rPr>
                <w:color w:val="000000"/>
                <w:sz w:val="18"/>
                <w:szCs w:val="18"/>
              </w:rPr>
            </w:pPr>
            <w:bookmarkStart w:id="0" w:name="_heading=h.gjdgxs" w:colFirst="0" w:colLast="0"/>
            <w:bookmarkEnd w:id="0"/>
            <w:r w:rsidRPr="009A604E">
              <w:rPr>
                <w:color w:val="000000"/>
                <w:sz w:val="18"/>
                <w:szCs w:val="18"/>
              </w:rPr>
              <w:t>Healthcare communication has increasingly involved digital media, with various technologies shaping the interaction between healthcare practitioners and patients. However, limited research has focused on understanding the subjective experiences of healthcare providers and patients in using digital media for communication. This study addresses the gap by exploring the lived experiences of healthcare practitioners and patients in adopting digital media tools such as telemedicine and messaging apps. Using a phenomenological approach, this research investigates how these technologies impact the communication process, focusing on the meanings and challenges from the perspectives of the participants. In-depth interviews with 25 healthcare professionals and patients revealed key themes related to trust, accessibility, and the emotional dynamics of digital communication. The findings highlight that while digital media offers enhanced accessibility and efficiency, it also introduces challenges in maintaining human connection and trust.</w:t>
            </w:r>
            <w:r w:rsidR="00F70A46" w:rsidRPr="009A604E">
              <w:rPr>
                <w:color w:val="000000"/>
                <w:sz w:val="18"/>
                <w:szCs w:val="18"/>
                <w:lang w:val="id-ID"/>
              </w:rPr>
              <w:t xml:space="preserve"> These insights provide actionable guidance for healthcare practitioners and policymakers on how to design and implement digital communication strategies that prioritize trust-building and emotional connection, ensuring that technology complements rather than replaces human interaction. For instance, healthcare organizations can adopt training programs for practitioners to improve their digital communication skills, focusing on empathy and clarity, while also developing patient-friendly interfaces to enhance accessibility. </w:t>
            </w:r>
            <w:r w:rsidRPr="009A604E">
              <w:rPr>
                <w:color w:val="000000"/>
                <w:sz w:val="18"/>
                <w:szCs w:val="18"/>
              </w:rPr>
              <w:t xml:space="preserve"> These results offer valuable insights into improving digital communication strategies in healthcare and suggest areas for future research on integrating technology with patient-</w:t>
            </w:r>
            <w:proofErr w:type="spellStart"/>
            <w:r w:rsidRPr="009A604E">
              <w:rPr>
                <w:color w:val="000000"/>
                <w:sz w:val="18"/>
                <w:szCs w:val="18"/>
              </w:rPr>
              <w:t>centered</w:t>
            </w:r>
            <w:proofErr w:type="spellEnd"/>
            <w:r w:rsidRPr="009A604E">
              <w:rPr>
                <w:color w:val="000000"/>
                <w:sz w:val="18"/>
                <w:szCs w:val="18"/>
              </w:rPr>
              <w:t xml:space="preserve"> care.</w:t>
            </w:r>
          </w:p>
          <w:p w14:paraId="000E86B0" w14:textId="77777777" w:rsidR="006967B4" w:rsidRPr="009A604E" w:rsidRDefault="006967B4">
            <w:pPr>
              <w:ind w:right="-70"/>
              <w:rPr>
                <w:sz w:val="22"/>
                <w:szCs w:val="22"/>
              </w:rPr>
            </w:pPr>
          </w:p>
        </w:tc>
      </w:tr>
      <w:tr w:rsidR="006967B4" w:rsidRPr="009A604E" w14:paraId="19A9234A" w14:textId="77777777">
        <w:trPr>
          <w:gridAfter w:val="2"/>
          <w:wAfter w:w="674" w:type="dxa"/>
          <w:trHeight w:val="1231"/>
        </w:trPr>
        <w:tc>
          <w:tcPr>
            <w:tcW w:w="2268" w:type="dxa"/>
            <w:vMerge w:val="restart"/>
            <w:tcBorders>
              <w:top w:val="single" w:sz="4" w:space="0" w:color="000000"/>
              <w:left w:val="nil"/>
              <w:bottom w:val="single" w:sz="4" w:space="0" w:color="000000"/>
              <w:right w:val="nil"/>
            </w:tcBorders>
          </w:tcPr>
          <w:p w14:paraId="02DD780A" w14:textId="77777777" w:rsidR="006967B4" w:rsidRPr="009A604E" w:rsidRDefault="006504D9">
            <w:pPr>
              <w:spacing w:line="259" w:lineRule="auto"/>
              <w:rPr>
                <w:b/>
                <w:i/>
                <w:sz w:val="22"/>
                <w:szCs w:val="22"/>
              </w:rPr>
            </w:pPr>
            <w:r w:rsidRPr="009A604E">
              <w:rPr>
                <w:b/>
                <w:i/>
                <w:sz w:val="22"/>
                <w:szCs w:val="22"/>
              </w:rPr>
              <w:t>Keyword:</w:t>
            </w:r>
          </w:p>
          <w:p w14:paraId="0552CC89" w14:textId="1C278621" w:rsidR="006967B4" w:rsidRPr="009A604E" w:rsidRDefault="00EA14EE">
            <w:pPr>
              <w:spacing w:line="259" w:lineRule="auto"/>
              <w:jc w:val="left"/>
              <w:rPr>
                <w:sz w:val="18"/>
                <w:szCs w:val="18"/>
              </w:rPr>
            </w:pPr>
            <w:r w:rsidRPr="009A604E">
              <w:rPr>
                <w:sz w:val="18"/>
                <w:szCs w:val="18"/>
              </w:rPr>
              <w:t>Business Strategy</w:t>
            </w:r>
            <w:r w:rsidR="00827A67" w:rsidRPr="009A604E">
              <w:rPr>
                <w:sz w:val="18"/>
                <w:szCs w:val="18"/>
              </w:rPr>
              <w:t xml:space="preserve">; </w:t>
            </w:r>
            <w:r w:rsidRPr="009A604E">
              <w:rPr>
                <w:sz w:val="18"/>
                <w:szCs w:val="18"/>
              </w:rPr>
              <w:t>Corporate Governance</w:t>
            </w:r>
            <w:r w:rsidR="00827A67" w:rsidRPr="009A604E">
              <w:rPr>
                <w:sz w:val="18"/>
                <w:szCs w:val="18"/>
              </w:rPr>
              <w:t xml:space="preserve">; </w:t>
            </w:r>
            <w:r w:rsidRPr="009A604E">
              <w:rPr>
                <w:sz w:val="18"/>
                <w:szCs w:val="18"/>
              </w:rPr>
              <w:t>Corporate Governance Practices</w:t>
            </w:r>
            <w:r w:rsidR="00827A67" w:rsidRPr="009A604E">
              <w:rPr>
                <w:sz w:val="18"/>
                <w:szCs w:val="18"/>
              </w:rPr>
              <w:t xml:space="preserve">; </w:t>
            </w:r>
            <w:r w:rsidRPr="009A604E">
              <w:rPr>
                <w:sz w:val="18"/>
                <w:szCs w:val="18"/>
              </w:rPr>
              <w:t>Sustainable Policies</w:t>
            </w:r>
            <w:r w:rsidR="00827A67" w:rsidRPr="009A604E">
              <w:rPr>
                <w:sz w:val="18"/>
                <w:szCs w:val="18"/>
              </w:rPr>
              <w:t xml:space="preserve">; </w:t>
            </w:r>
            <w:r w:rsidRPr="009A604E">
              <w:rPr>
                <w:sz w:val="18"/>
                <w:szCs w:val="18"/>
              </w:rPr>
              <w:t>Multinational Companies</w:t>
            </w:r>
            <w:r w:rsidR="00827A67" w:rsidRPr="009A604E">
              <w:rPr>
                <w:sz w:val="18"/>
                <w:szCs w:val="18"/>
              </w:rPr>
              <w:t xml:space="preserve">; </w:t>
            </w:r>
            <w:r w:rsidRPr="009A604E">
              <w:rPr>
                <w:sz w:val="18"/>
                <w:szCs w:val="18"/>
              </w:rPr>
              <w:t>Subjective Experience</w:t>
            </w:r>
          </w:p>
        </w:tc>
        <w:tc>
          <w:tcPr>
            <w:tcW w:w="426" w:type="dxa"/>
            <w:vMerge/>
            <w:tcBorders>
              <w:top w:val="nil"/>
              <w:left w:val="nil"/>
              <w:bottom w:val="nil"/>
              <w:right w:val="nil"/>
            </w:tcBorders>
          </w:tcPr>
          <w:p w14:paraId="547D6063" w14:textId="77777777" w:rsidR="006967B4" w:rsidRPr="009A604E" w:rsidRDefault="006967B4">
            <w:pPr>
              <w:widowControl w:val="0"/>
              <w:pBdr>
                <w:top w:val="nil"/>
                <w:left w:val="nil"/>
                <w:bottom w:val="nil"/>
                <w:right w:val="nil"/>
                <w:between w:val="nil"/>
              </w:pBdr>
              <w:spacing w:line="276" w:lineRule="auto"/>
              <w:jc w:val="left"/>
              <w:rPr>
                <w:sz w:val="18"/>
                <w:szCs w:val="18"/>
              </w:rPr>
            </w:pPr>
          </w:p>
        </w:tc>
        <w:tc>
          <w:tcPr>
            <w:tcW w:w="6364" w:type="dxa"/>
            <w:vMerge/>
            <w:tcBorders>
              <w:top w:val="single" w:sz="4" w:space="0" w:color="000000"/>
              <w:left w:val="nil"/>
              <w:bottom w:val="nil"/>
              <w:right w:val="nil"/>
            </w:tcBorders>
          </w:tcPr>
          <w:p w14:paraId="68E7A4C6" w14:textId="77777777" w:rsidR="006967B4" w:rsidRPr="009A604E" w:rsidRDefault="006967B4">
            <w:pPr>
              <w:widowControl w:val="0"/>
              <w:pBdr>
                <w:top w:val="nil"/>
                <w:left w:val="nil"/>
                <w:bottom w:val="nil"/>
                <w:right w:val="nil"/>
                <w:between w:val="nil"/>
              </w:pBdr>
              <w:spacing w:line="276" w:lineRule="auto"/>
              <w:jc w:val="left"/>
              <w:rPr>
                <w:sz w:val="18"/>
                <w:szCs w:val="18"/>
              </w:rPr>
            </w:pPr>
          </w:p>
        </w:tc>
      </w:tr>
      <w:tr w:rsidR="006967B4" w:rsidRPr="009A604E" w14:paraId="79AB7364" w14:textId="77777777">
        <w:trPr>
          <w:gridAfter w:val="2"/>
          <w:wAfter w:w="674" w:type="dxa"/>
          <w:trHeight w:val="70"/>
        </w:trPr>
        <w:tc>
          <w:tcPr>
            <w:tcW w:w="2268" w:type="dxa"/>
            <w:vMerge/>
            <w:tcBorders>
              <w:top w:val="single" w:sz="4" w:space="0" w:color="000000"/>
              <w:left w:val="nil"/>
              <w:bottom w:val="single" w:sz="4" w:space="0" w:color="000000"/>
              <w:right w:val="nil"/>
            </w:tcBorders>
          </w:tcPr>
          <w:p w14:paraId="08BB7BD1" w14:textId="77777777" w:rsidR="006967B4" w:rsidRPr="009A604E" w:rsidRDefault="006967B4">
            <w:pPr>
              <w:widowControl w:val="0"/>
              <w:pBdr>
                <w:top w:val="nil"/>
                <w:left w:val="nil"/>
                <w:bottom w:val="nil"/>
                <w:right w:val="nil"/>
                <w:between w:val="nil"/>
              </w:pBdr>
              <w:spacing w:line="276" w:lineRule="auto"/>
              <w:jc w:val="left"/>
              <w:rPr>
                <w:sz w:val="18"/>
                <w:szCs w:val="18"/>
              </w:rPr>
            </w:pPr>
          </w:p>
        </w:tc>
        <w:tc>
          <w:tcPr>
            <w:tcW w:w="426" w:type="dxa"/>
            <w:vMerge/>
            <w:tcBorders>
              <w:top w:val="nil"/>
              <w:left w:val="nil"/>
              <w:bottom w:val="nil"/>
              <w:right w:val="nil"/>
            </w:tcBorders>
          </w:tcPr>
          <w:p w14:paraId="1B89C1AB" w14:textId="77777777" w:rsidR="006967B4" w:rsidRPr="009A604E" w:rsidRDefault="006967B4">
            <w:pPr>
              <w:widowControl w:val="0"/>
              <w:pBdr>
                <w:top w:val="nil"/>
                <w:left w:val="nil"/>
                <w:bottom w:val="nil"/>
                <w:right w:val="nil"/>
                <w:between w:val="nil"/>
              </w:pBdr>
              <w:spacing w:line="276" w:lineRule="auto"/>
              <w:jc w:val="left"/>
              <w:rPr>
                <w:sz w:val="18"/>
                <w:szCs w:val="18"/>
              </w:rPr>
            </w:pPr>
          </w:p>
        </w:tc>
        <w:tc>
          <w:tcPr>
            <w:tcW w:w="6364" w:type="dxa"/>
            <w:tcBorders>
              <w:top w:val="nil"/>
              <w:left w:val="nil"/>
              <w:bottom w:val="nil"/>
              <w:right w:val="nil"/>
            </w:tcBorders>
          </w:tcPr>
          <w:p w14:paraId="0ED76E34" w14:textId="77777777" w:rsidR="006967B4" w:rsidRPr="009A604E" w:rsidRDefault="006967B4">
            <w:pPr>
              <w:spacing w:after="160" w:line="259" w:lineRule="auto"/>
              <w:ind w:left="1056" w:hanging="1056"/>
              <w:jc w:val="left"/>
              <w:rPr>
                <w:sz w:val="22"/>
                <w:szCs w:val="22"/>
              </w:rPr>
            </w:pPr>
          </w:p>
        </w:tc>
      </w:tr>
      <w:tr w:rsidR="006967B4" w:rsidRPr="009A604E" w14:paraId="077F043E" w14:textId="77777777">
        <w:trPr>
          <w:trHeight w:val="70"/>
        </w:trPr>
        <w:tc>
          <w:tcPr>
            <w:tcW w:w="9058" w:type="dxa"/>
            <w:gridSpan w:val="3"/>
            <w:tcBorders>
              <w:top w:val="single" w:sz="4" w:space="0" w:color="000000"/>
              <w:left w:val="nil"/>
              <w:bottom w:val="single" w:sz="4" w:space="0" w:color="000000"/>
              <w:right w:val="nil"/>
            </w:tcBorders>
          </w:tcPr>
          <w:p w14:paraId="4176AD80" w14:textId="77777777" w:rsidR="006967B4" w:rsidRPr="009A604E" w:rsidRDefault="006967B4">
            <w:pPr>
              <w:widowControl w:val="0"/>
              <w:pBdr>
                <w:top w:val="nil"/>
                <w:left w:val="nil"/>
                <w:bottom w:val="nil"/>
                <w:right w:val="nil"/>
                <w:between w:val="nil"/>
              </w:pBdr>
              <w:spacing w:line="276" w:lineRule="auto"/>
              <w:jc w:val="left"/>
              <w:rPr>
                <w:sz w:val="22"/>
                <w:szCs w:val="22"/>
              </w:rPr>
            </w:pPr>
          </w:p>
          <w:tbl>
            <w:tblPr>
              <w:tblStyle w:val="a4"/>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371"/>
            </w:tblGrid>
            <w:tr w:rsidR="006967B4" w:rsidRPr="009A604E" w14:paraId="368AADE9" w14:textId="77777777">
              <w:trPr>
                <w:trHeight w:val="568"/>
              </w:trPr>
              <w:tc>
                <w:tcPr>
                  <w:tcW w:w="1701" w:type="dxa"/>
                  <w:tcBorders>
                    <w:top w:val="nil"/>
                    <w:bottom w:val="nil"/>
                    <w:right w:val="nil"/>
                  </w:tcBorders>
                </w:tcPr>
                <w:p w14:paraId="00EAF02E" w14:textId="77777777" w:rsidR="006967B4" w:rsidRPr="009A604E" w:rsidRDefault="006967B4">
                  <w:pPr>
                    <w:widowControl w:val="0"/>
                    <w:ind w:left="122"/>
                    <w:jc w:val="left"/>
                    <w:rPr>
                      <w:b/>
                      <w:i/>
                      <w:sz w:val="18"/>
                      <w:szCs w:val="18"/>
                    </w:rPr>
                  </w:pPr>
                </w:p>
              </w:tc>
              <w:tc>
                <w:tcPr>
                  <w:tcW w:w="7371" w:type="dxa"/>
                  <w:tcBorders>
                    <w:top w:val="nil"/>
                    <w:left w:val="nil"/>
                    <w:bottom w:val="nil"/>
                  </w:tcBorders>
                </w:tcPr>
                <w:p w14:paraId="500CBEAC" w14:textId="371B8EB6" w:rsidR="006967B4" w:rsidRPr="009A604E" w:rsidRDefault="00827A67" w:rsidP="00827A67">
                  <w:pPr>
                    <w:widowControl w:val="0"/>
                    <w:ind w:left="1692"/>
                    <w:jc w:val="left"/>
                    <w:rPr>
                      <w:sz w:val="14"/>
                      <w:szCs w:val="14"/>
                    </w:rPr>
                  </w:pPr>
                  <w:r w:rsidRPr="009A604E">
                    <w:rPr>
                      <w:noProof/>
                      <w:lang w:val="id-ID"/>
                    </w:rPr>
                    <w:drawing>
                      <wp:anchor distT="0" distB="0" distL="114300" distR="114300" simplePos="0" relativeHeight="251648512" behindDoc="0" locked="0" layoutInCell="1" hidden="0" allowOverlap="1" wp14:anchorId="3B86E4DF" wp14:editId="2072A60D">
                        <wp:simplePos x="0" y="0"/>
                        <wp:positionH relativeFrom="column">
                          <wp:posOffset>158115</wp:posOffset>
                        </wp:positionH>
                        <wp:positionV relativeFrom="paragraph">
                          <wp:posOffset>22225</wp:posOffset>
                        </wp:positionV>
                        <wp:extent cx="657225" cy="231140"/>
                        <wp:effectExtent l="0" t="0" r="9525"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258" r="258"/>
                                <a:stretch>
                                  <a:fillRect/>
                                </a:stretch>
                              </pic:blipFill>
                              <pic:spPr>
                                <a:xfrm>
                                  <a:off x="0" y="0"/>
                                  <a:ext cx="657225" cy="231140"/>
                                </a:xfrm>
                                <a:prstGeom prst="rect">
                                  <a:avLst/>
                                </a:prstGeom>
                                <a:ln/>
                              </pic:spPr>
                            </pic:pic>
                          </a:graphicData>
                        </a:graphic>
                      </wp:anchor>
                    </w:drawing>
                  </w:r>
                  <w:r w:rsidR="006504D9" w:rsidRPr="009A604E">
                    <w:rPr>
                      <w:sz w:val="14"/>
                      <w:szCs w:val="14"/>
                    </w:rPr>
                    <w:t>©202</w:t>
                  </w:r>
                  <w:r>
                    <w:rPr>
                      <w:sz w:val="14"/>
                      <w:szCs w:val="14"/>
                    </w:rPr>
                    <w:t>5</w:t>
                  </w:r>
                  <w:r w:rsidR="006504D9" w:rsidRPr="009A604E">
                    <w:rPr>
                      <w:sz w:val="14"/>
                      <w:szCs w:val="14"/>
                    </w:rPr>
                    <w:t xml:space="preserve"> Authors. Published by PT </w:t>
                  </w:r>
                  <w:proofErr w:type="spellStart"/>
                  <w:r w:rsidR="006504D9" w:rsidRPr="009A604E">
                    <w:rPr>
                      <w:sz w:val="14"/>
                      <w:szCs w:val="14"/>
                    </w:rPr>
                    <w:t>Mukhlisina</w:t>
                  </w:r>
                  <w:proofErr w:type="spellEnd"/>
                  <w:r w:rsidR="006504D9" w:rsidRPr="009A604E">
                    <w:rPr>
                      <w:sz w:val="14"/>
                      <w:szCs w:val="14"/>
                    </w:rPr>
                    <w:t xml:space="preserve"> Revolution </w:t>
                  </w:r>
                  <w:proofErr w:type="spellStart"/>
                  <w:r w:rsidR="006504D9" w:rsidRPr="009A604E">
                    <w:rPr>
                      <w:sz w:val="14"/>
                      <w:szCs w:val="14"/>
                    </w:rPr>
                    <w:t>Center</w:t>
                  </w:r>
                  <w:proofErr w:type="spellEnd"/>
                  <w:proofErr w:type="gramStart"/>
                  <w:r w:rsidR="006504D9" w:rsidRPr="009A604E">
                    <w:rPr>
                      <w:sz w:val="14"/>
                      <w:szCs w:val="14"/>
                    </w:rPr>
                    <w:t>..</w:t>
                  </w:r>
                  <w:proofErr w:type="gramEnd"/>
                  <w:r w:rsidR="006504D9" w:rsidRPr="009A604E">
                    <w:rPr>
                      <w:sz w:val="14"/>
                      <w:szCs w:val="14"/>
                    </w:rPr>
                    <w:t xml:space="preserve"> This work is licensed under a Creative Commons Attribution-</w:t>
                  </w:r>
                  <w:proofErr w:type="spellStart"/>
                  <w:r w:rsidR="006504D9" w:rsidRPr="009A604E">
                    <w:rPr>
                      <w:sz w:val="14"/>
                      <w:szCs w:val="14"/>
                    </w:rPr>
                    <w:t>NonCommercial</w:t>
                  </w:r>
                  <w:proofErr w:type="spellEnd"/>
                  <w:r w:rsidR="006504D9" w:rsidRPr="009A604E">
                    <w:rPr>
                      <w:sz w:val="14"/>
                      <w:szCs w:val="14"/>
                    </w:rPr>
                    <w:t xml:space="preserve"> 4.0 International License.</w:t>
                  </w:r>
                </w:p>
                <w:p w14:paraId="13FB9B8A" w14:textId="77777777" w:rsidR="006967B4" w:rsidRPr="009A604E" w:rsidRDefault="006504D9" w:rsidP="00827A67">
                  <w:pPr>
                    <w:widowControl w:val="0"/>
                    <w:ind w:left="1692"/>
                    <w:jc w:val="left"/>
                    <w:rPr>
                      <w:sz w:val="14"/>
                      <w:szCs w:val="14"/>
                    </w:rPr>
                  </w:pPr>
                  <w:r w:rsidRPr="009A604E">
                    <w:rPr>
                      <w:sz w:val="14"/>
                      <w:szCs w:val="14"/>
                    </w:rPr>
                    <w:t>(https://creativecommons.org/licenses/by/4.0/)</w:t>
                  </w:r>
                </w:p>
              </w:tc>
            </w:tr>
          </w:tbl>
          <w:p w14:paraId="013EA701" w14:textId="77777777" w:rsidR="006967B4" w:rsidRPr="009A604E" w:rsidRDefault="006967B4">
            <w:pPr>
              <w:spacing w:after="160" w:line="259" w:lineRule="auto"/>
              <w:rPr>
                <w:b/>
                <w:i/>
                <w:sz w:val="22"/>
                <w:szCs w:val="22"/>
              </w:rPr>
            </w:pPr>
          </w:p>
        </w:tc>
        <w:tc>
          <w:tcPr>
            <w:tcW w:w="438" w:type="dxa"/>
            <w:tcBorders>
              <w:top w:val="nil"/>
              <w:left w:val="nil"/>
              <w:bottom w:val="nil"/>
              <w:right w:val="nil"/>
            </w:tcBorders>
          </w:tcPr>
          <w:p w14:paraId="5B997F4B" w14:textId="77777777" w:rsidR="006967B4" w:rsidRPr="009A604E" w:rsidRDefault="006967B4">
            <w:pPr>
              <w:spacing w:after="160" w:line="259" w:lineRule="auto"/>
              <w:rPr>
                <w:sz w:val="22"/>
                <w:szCs w:val="22"/>
              </w:rPr>
            </w:pPr>
          </w:p>
        </w:tc>
        <w:tc>
          <w:tcPr>
            <w:tcW w:w="236" w:type="dxa"/>
            <w:tcBorders>
              <w:top w:val="nil"/>
              <w:left w:val="nil"/>
              <w:bottom w:val="nil"/>
              <w:right w:val="nil"/>
            </w:tcBorders>
          </w:tcPr>
          <w:p w14:paraId="2AB5475A" w14:textId="77777777" w:rsidR="006967B4" w:rsidRPr="009A604E" w:rsidRDefault="006967B4">
            <w:pPr>
              <w:spacing w:after="160" w:line="259" w:lineRule="auto"/>
              <w:ind w:left="1168"/>
              <w:jc w:val="left"/>
              <w:rPr>
                <w:sz w:val="16"/>
                <w:szCs w:val="16"/>
              </w:rPr>
            </w:pPr>
          </w:p>
        </w:tc>
      </w:tr>
    </w:tbl>
    <w:p w14:paraId="2ED26902" w14:textId="77777777" w:rsidR="006967B4" w:rsidRPr="009A604E" w:rsidRDefault="006967B4">
      <w:pPr>
        <w:jc w:val="left"/>
        <w:rPr>
          <w:b/>
        </w:rPr>
      </w:pPr>
    </w:p>
    <w:p w14:paraId="59134B31" w14:textId="77777777" w:rsidR="006967B4" w:rsidRPr="009A604E" w:rsidRDefault="001115C3">
      <w:pPr>
        <w:spacing w:after="120"/>
        <w:rPr>
          <w:b/>
          <w:sz w:val="22"/>
          <w:szCs w:val="22"/>
          <w:lang w:val="id-ID"/>
        </w:rPr>
      </w:pPr>
      <w:r w:rsidRPr="009A604E">
        <w:rPr>
          <w:b/>
          <w:sz w:val="22"/>
          <w:szCs w:val="22"/>
        </w:rPr>
        <w:t xml:space="preserve">INTRODUCTION </w:t>
      </w:r>
    </w:p>
    <w:p w14:paraId="54386BFE" w14:textId="2BF23DC7" w:rsidR="001115C3" w:rsidRPr="009A604E" w:rsidRDefault="00827A67" w:rsidP="001115C3">
      <w:pPr>
        <w:spacing w:after="120"/>
        <w:ind w:firstLine="720"/>
        <w:rPr>
          <w:sz w:val="22"/>
          <w:szCs w:val="22"/>
          <w:lang w:val="id-ID"/>
        </w:rPr>
      </w:pPr>
      <w:r>
        <w:rPr>
          <w:noProof/>
          <w:lang w:val="id-ID"/>
        </w:rPr>
        <mc:AlternateContent>
          <mc:Choice Requires="wps">
            <w:drawing>
              <wp:anchor distT="0" distB="0" distL="114300" distR="114300" simplePos="0" relativeHeight="251650560" behindDoc="0" locked="0" layoutInCell="1" allowOverlap="1" wp14:anchorId="485C300A" wp14:editId="7EE98991">
                <wp:simplePos x="0" y="0"/>
                <wp:positionH relativeFrom="column">
                  <wp:posOffset>5343525</wp:posOffset>
                </wp:positionH>
                <wp:positionV relativeFrom="paragraph">
                  <wp:posOffset>2346960</wp:posOffset>
                </wp:positionV>
                <wp:extent cx="323850" cy="238125"/>
                <wp:effectExtent l="0" t="0" r="0" b="9525"/>
                <wp:wrapNone/>
                <wp:docPr id="670921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38125"/>
                        </a:xfrm>
                        <a:prstGeom prst="rect">
                          <a:avLst/>
                        </a:prstGeom>
                        <a:solidFill>
                          <a:sysClr val="window" lastClr="FFFFFF"/>
                        </a:solidFill>
                        <a:ln w="6350">
                          <a:noFill/>
                        </a:ln>
                      </wps:spPr>
                      <wps:txbx>
                        <w:txbxContent>
                          <w:p w14:paraId="13ABC5A7" w14:textId="5D0979D5" w:rsidR="00827A67" w:rsidRPr="00C83E52" w:rsidRDefault="00827A67" w:rsidP="00827A67">
                            <w:pPr>
                              <w:jc w:val="center"/>
                              <w:rPr>
                                <w:sz w:val="20"/>
                                <w:szCs w:val="20"/>
                                <w:lang w:val="en-US"/>
                              </w:rPr>
                            </w:pPr>
                            <w:r w:rsidRPr="00C83E52">
                              <w:rPr>
                                <w:sz w:val="20"/>
                                <w:szCs w:val="20"/>
                                <w:lang w:val="en-US"/>
                              </w:rPr>
                              <w:t>1</w:t>
                            </w:r>
                            <w:r>
                              <w:rPr>
                                <w:sz w:val="20"/>
                                <w:szCs w:val="20"/>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85C300A" id="_x0000_t202" coordsize="21600,21600" o:spt="202" path="m,l,21600r21600,l21600,xe">
                <v:stroke joinstyle="miter"/>
                <v:path gradientshapeok="t" o:connecttype="rect"/>
              </v:shapetype>
              <v:shape id="Text Box 2" o:spid="_x0000_s1026" type="#_x0000_t202" style="position:absolute;left:0;text-align:left;margin-left:420.75pt;margin-top:184.8pt;width:25.5pt;height:1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LoPQIAAH0EAAAOAAAAZHJzL2Uyb0RvYy54bWysVEtv2zAMvg/YfxB0X51n1xlxiixFhgFB&#10;WyAdelZkOTYmi5qoxM5+/SjZeazbaVgOCilSJL+PpGf3ba3ZQTmswGR8eDPgTBkJeWV2Gf/2svpw&#10;xxl6YXKhwaiMHxXy+/n7d7PGpmoEJehcOUZBDKaNzXjpvU2TBGWpaoE3YJUhYwGuFp5Ut0tyJxqK&#10;XutkNBjcJg243DqQCpFuHzojn8f4RaGkfyoKVJ7pjFNtPp4unttwJvOZSHdO2LKSfRniH6qoRWUo&#10;6TnUg/CC7V31R6i6kg4QCn8joU6gKCqpIgZCMxy8QbMphVURC5GD9kwT/r+w8vGwsc+O+fYztNTA&#10;CALtGuR3JG6SxmLa+wROMUXyDkDbwtXhnyAwekjcHs98qtYzSZfj0fhuShZJJhKHo2ngO7k8tg79&#10;FwU1C0LGHbUrFiAOa/Sd68kl5ELQVb6qtI7KEZfasYOgztJA5NBwpgV6usz4Kv76bL8904Y1Gb8d&#10;U10hioEQr0ulTQ+4wxjQ+nbbkjGIW8iPRJSDbobQylVFVa8p5bNwNDQElBbBP9FRaKAk0EucleB+&#10;/u0++FMvycpZQ0OYcfyxF04Rkq+GuvxpOJmEqY3KZPpxRIq7tmyvLWZfL4HYGNLKWRnF4O/1SSwc&#10;1K+0L4uQlUzCSMqdcX8Sl75bDdo3qRaL6ERzaoVfm42Vp/kIPXlpX4WzfeM8dfwRTuMq0jf963w7&#10;uhd7D0UVm3thteedZjyOR7+PYYmu9eh1+WrMfwEAAP//AwBQSwMEFAAGAAgAAAAhAF83m3TjAAAA&#10;CwEAAA8AAABkcnMvZG93bnJldi54bWxMj8FOwzAMhu9IvENkJG4s7RilK00nhEAwiWpQkLhmjWkL&#10;TVIl2drt6TEnONr+9Pv789Wke7ZH5ztrBMSzCBia2qrONALe3x4uUmA+SKNkbw0KOKCHVXF6kstM&#10;2dG84r4KDaMQ4zMpoA1hyDj3dYta+pkd0NDt0zotA42u4crJkcJ1z+dRlHAtO0MfWjngXYv1d7XT&#10;Aj7G6tFt1uuvl+GpPG6OVfmM96UQ52fT7Q2wgFP4g+FXn9ShIKet3RnlWS8gXcRXhAq4TJYJMCLS&#10;5Zw2WwGL6DoGXuT8f4fiBwAA//8DAFBLAQItABQABgAIAAAAIQC2gziS/gAAAOEBAAATAAAAAAAA&#10;AAAAAAAAAAAAAABbQ29udGVudF9UeXBlc10ueG1sUEsBAi0AFAAGAAgAAAAhADj9If/WAAAAlAEA&#10;AAsAAAAAAAAAAAAAAAAALwEAAF9yZWxzLy5yZWxzUEsBAi0AFAAGAAgAAAAhAI5JYug9AgAAfQQA&#10;AA4AAAAAAAAAAAAAAAAALgIAAGRycy9lMm9Eb2MueG1sUEsBAi0AFAAGAAgAAAAhAF83m3TjAAAA&#10;CwEAAA8AAAAAAAAAAAAAAAAAlwQAAGRycy9kb3ducmV2LnhtbFBLBQYAAAAABAAEAPMAAACnBQAA&#10;AAA=&#10;" fillcolor="window" stroked="f" strokeweight=".5pt">
                <v:textbox>
                  <w:txbxContent>
                    <w:p w14:paraId="13ABC5A7" w14:textId="5D0979D5" w:rsidR="00827A67" w:rsidRPr="00C83E52" w:rsidRDefault="00827A67" w:rsidP="00827A67">
                      <w:pPr>
                        <w:jc w:val="center"/>
                        <w:rPr>
                          <w:sz w:val="20"/>
                          <w:szCs w:val="20"/>
                          <w:lang w:val="en-US"/>
                        </w:rPr>
                      </w:pPr>
                      <w:r w:rsidRPr="00C83E52">
                        <w:rPr>
                          <w:sz w:val="20"/>
                          <w:szCs w:val="20"/>
                          <w:lang w:val="en-US"/>
                        </w:rPr>
                        <w:t>1</w:t>
                      </w:r>
                      <w:r>
                        <w:rPr>
                          <w:sz w:val="20"/>
                          <w:szCs w:val="20"/>
                          <w:lang w:val="en-US"/>
                        </w:rPr>
                        <w:t>0</w:t>
                      </w:r>
                    </w:p>
                  </w:txbxContent>
                </v:textbox>
              </v:shape>
            </w:pict>
          </mc:Fallback>
        </mc:AlternateContent>
      </w:r>
      <w:r w:rsidR="001115C3" w:rsidRPr="009A604E">
        <w:rPr>
          <w:sz w:val="22"/>
          <w:szCs w:val="22"/>
        </w:rPr>
        <w:t>Corporate governance has long been a central concern in the business and management fields, especially within multinational corporations that operate across diverse regulatory, cultural, and organizational contexts</w:t>
      </w:r>
      <w:r w:rsidR="00684BC2" w:rsidRPr="009A604E">
        <w:rPr>
          <w:sz w:val="22"/>
          <w:szCs w:val="22"/>
          <w:lang w:val="id-ID"/>
        </w:rPr>
        <w:t xml:space="preserve"> </w:t>
      </w:r>
      <w:r w:rsidR="00684BC2" w:rsidRPr="009A604E">
        <w:rPr>
          <w:sz w:val="22"/>
          <w:szCs w:val="22"/>
          <w:lang w:val="id-ID"/>
        </w:rPr>
        <w:fldChar w:fldCharType="begin"/>
      </w:r>
      <w:r w:rsidR="00684BC2" w:rsidRPr="009A604E">
        <w:rPr>
          <w:sz w:val="22"/>
          <w:szCs w:val="22"/>
          <w:lang w:val="id-ID"/>
        </w:rPr>
        <w:instrText xml:space="preserve"> ADDIN ZOTERO_ITEM CSL_CITATION {"citationID":"m2oRhXdR","properties":{"formattedCitation":"(Virakul &amp; Russ-Eft, 2020)","plainCitation":"(Virakul &amp; Russ-Eft, 2020)","noteIndex":0},"citationItems":[{"id":19558,"uris":["http://zotero.org/users/11749608/items/3ZAVXQ3Z"],"itemData":{"id":19558,"type":"article-journal","abstract":"Purpose: This study aims to validate a model of organizational performance embedding corporate social responsibility (CSR), corporate governance (CG) and sustainability concepts at a strategic level. The model has been created in response to two significant global influences: global challenges and sustainable development (SD). Design/methodology/approach: To validate the model created, executives from 10 of Thailand’s leading companies that have received CSR, CG, or sustainability awards during 2010-2015 were asked to complete a questionnaire and were later interviewed. Findings: The findings indicate the appropriateness of the model in addressing the two significant global influences and highlight the critical issues in its implementation. Research limitations/implications: Types of interviewees who are information sources, organization’s features such as size and industry and culture, appear to be critical factors in affecting the research findings and in limiting the interpretation and applications of the research model. All of those limitations have been explained in the research paper so that future research could be improved. Practical implications: The model presents additional knowledge in relation to SD, business strategy, organizational performance and organizational sustainability. It shows how businesses can participate and respond to SD by embedding CSR, CG and sustainability concepts at the strategic level. It also shows that the outcome of such an approach will help business organizations sustain their existence by balancing financial, social and environmental dimensions. Social implications: Business is one of the three key players (government, business and citizens) in managing global challenges and promoting SD. A business sector contains huge valuable resources (e.g. physical; financial; human; technology) for development capabilities. Therefore, this research shows a model which helps business organizations understand their significant role in SD. Originality/value: Due to increased human population, climate change and deterioration of natural resources, social thinkers all around the world have been warning the seriousness of global challenges and the importance of SD. However, not many studies combine and connect the key concepts of global challenges, SD, CSR, CG and sustainability, all together to address the important role of business organizations. This research answers/gives such overall picture through a field research work for validation. © 2019, Emerald Publishing Limited.","archive":"Scopus","container-title":"Social Responsibility Journal","DOI":"10.1108/SRJ-09-2018-0223","issue":"2","note":"publisher: Emerald Group Holdings Ltd.","page":"199-224","title":"A model for business responses to global challenges and sustainable development","volume":"16","author":[{"family":"Virakul","given":"B."},{"family":"Russ-Eft","given":"D.F."}],"issued":{"date-parts":[["2020"]]}}}],"schema":"https://github.com/citation-style-language/schema/raw/master/csl-citation.json"} </w:instrText>
      </w:r>
      <w:r w:rsidR="00684BC2" w:rsidRPr="009A604E">
        <w:rPr>
          <w:sz w:val="22"/>
          <w:szCs w:val="22"/>
          <w:lang w:val="id-ID"/>
        </w:rPr>
        <w:fldChar w:fldCharType="separate"/>
      </w:r>
      <w:r w:rsidR="00684BC2" w:rsidRPr="009A604E">
        <w:rPr>
          <w:sz w:val="22"/>
        </w:rPr>
        <w:t>(Virakul &amp; Russ-Eft, 2020)</w:t>
      </w:r>
      <w:r w:rsidR="00684BC2" w:rsidRPr="009A604E">
        <w:rPr>
          <w:sz w:val="22"/>
          <w:szCs w:val="22"/>
          <w:lang w:val="id-ID"/>
        </w:rPr>
        <w:fldChar w:fldCharType="end"/>
      </w:r>
      <w:r w:rsidR="001115C3" w:rsidRPr="009A604E">
        <w:rPr>
          <w:sz w:val="22"/>
          <w:szCs w:val="22"/>
        </w:rPr>
        <w:t>. At its core, corporate governance refers to the systems, processes, and practices by which companies are directed and controlled, ensuring that they are run in the best interests of their stakeholders, including shareholders, employees, and society at large. In recent years, however, the focus of corporate governance has expanded beyond traditional concerns such as financial performance and compliance to encompass broader issues of sustainability, social responsibility, and ethical governance.</w:t>
      </w:r>
      <w:r w:rsidR="005F3A3B" w:rsidRPr="009A604E">
        <w:t xml:space="preserve"> </w:t>
      </w:r>
      <w:r w:rsidR="005F3A3B" w:rsidRPr="009A604E">
        <w:rPr>
          <w:sz w:val="22"/>
          <w:szCs w:val="22"/>
        </w:rPr>
        <w:t xml:space="preserve">While theoretical frameworks such as agency theory and stakeholder theory have provided valuable insights into the structural and procedural aspects of corporate governance, they often overlook the lived experiences of decision-makers who implement these frameworks in practice. The integration of sustainability into governance, for instance, presents unique challenges for multinational corporations, which must navigate varying regulatory, cultural, and ethical standards across jurisdictions. These gaps highlight the need for research that moves </w:t>
      </w:r>
      <w:r w:rsidR="005F3A3B" w:rsidRPr="009A604E">
        <w:rPr>
          <w:sz w:val="22"/>
          <w:szCs w:val="22"/>
        </w:rPr>
        <w:lastRenderedPageBreak/>
        <w:t>beyond theoretical constructs to explore the subjective experiences of senior executives in real-world governance contexts.</w:t>
      </w:r>
    </w:p>
    <w:p w14:paraId="2A9C6C6C" w14:textId="46BF25EE" w:rsidR="001115C3" w:rsidRPr="009A604E" w:rsidRDefault="001115C3" w:rsidP="005F3A3B">
      <w:pPr>
        <w:spacing w:after="120"/>
        <w:ind w:firstLine="720"/>
        <w:rPr>
          <w:sz w:val="22"/>
          <w:szCs w:val="22"/>
          <w:lang w:val="id-ID"/>
        </w:rPr>
      </w:pPr>
      <w:r w:rsidRPr="009A604E">
        <w:rPr>
          <w:sz w:val="22"/>
          <w:szCs w:val="22"/>
        </w:rPr>
        <w:t>The increasing importance of sustainability in corporate governance has been driven by several factors, including growing public awareness of environmental and social issues, heightened regulatory requirements, and a shift towards long-term value creation rather than short-term profits</w:t>
      </w:r>
      <w:r w:rsidR="00684BC2" w:rsidRPr="009A604E">
        <w:rPr>
          <w:sz w:val="22"/>
          <w:szCs w:val="22"/>
          <w:lang w:val="id-ID"/>
        </w:rPr>
        <w:t xml:space="preserve"> </w:t>
      </w:r>
      <w:r w:rsidR="00684BC2" w:rsidRPr="009A604E">
        <w:rPr>
          <w:sz w:val="22"/>
          <w:szCs w:val="22"/>
          <w:lang w:val="id-ID"/>
        </w:rPr>
        <w:fldChar w:fldCharType="begin"/>
      </w:r>
      <w:r w:rsidR="00684BC2" w:rsidRPr="009A604E">
        <w:rPr>
          <w:sz w:val="22"/>
          <w:szCs w:val="22"/>
          <w:lang w:val="id-ID"/>
        </w:rPr>
        <w:instrText xml:space="preserve"> ADDIN ZOTERO_ITEM CSL_CITATION {"citationID":"SpSlpHB1","properties":{"formattedCitation":"(Mas-Tur dkk., 2020)","plainCitation":"(Mas-Tur dkk., 2020)","noteIndex":0},"citationItems":[{"id":19578,"uris":["http://zotero.org/users/11749608/items/LAGUK2KB"],"itemData":{"id":19578,"type":"article-journal","abstract":"The Review of Managerial Science (RMS) is a leading international journal that publishes major advances related to business administration and management. The journal was launched in April 2007 and publishes eight issues per year (from 2021 onwards). The scope of RMS encompasses, but is not limited to, the functional areas of operations (such as production, operations management, and marketing), management (such as human resources management, strategic management, and organizational theory), information systems and their interrelations with capital markets (such as accounting, auditing, finance, and taxation), as well as questions of business strategy, entrepreneurship, innovation, and corporate governance. This study offers a bibliometric overview of the publication and citation structure of RMS from its inception in 2007 until 2020 in terms of topics, authors, institutions, and countries, thereby offering a comprehensive overview of the history of the journal so far. All the data for the study are from the Web of Science Core Collection database. To complement this analysis, VOSviewer software provides graphical analysis. The analysis is based on several bibliometric techniques such as co-citation analysis and bibliographic coupling. © 2020, The Author(s).","archive":"Scopus","container-title":"Review of Managerial Science","DOI":"10.1007/s11846-020-00406-z","issue":"5","note":"publisher: Springer","page":"933-958","title":"Advances in management research: a bibliometric overview of the Review of Managerial Science","volume":"14","author":[{"family":"Mas-Tur","given":"A."},{"family":"Kraus","given":"S."},{"family":"Brandtner","given":"M."},{"family":"Ewert","given":"R."},{"family":"Kürsten","given":"W."}],"issued":{"date-parts":[["2020"]]}}}],"schema":"https://github.com/citation-style-language/schema/raw/master/csl-citation.json"} </w:instrText>
      </w:r>
      <w:r w:rsidR="00684BC2" w:rsidRPr="009A604E">
        <w:rPr>
          <w:sz w:val="22"/>
          <w:szCs w:val="22"/>
          <w:lang w:val="id-ID"/>
        </w:rPr>
        <w:fldChar w:fldCharType="separate"/>
      </w:r>
      <w:r w:rsidR="00684BC2" w:rsidRPr="009A604E">
        <w:rPr>
          <w:sz w:val="22"/>
        </w:rPr>
        <w:t>(Mas-Tur dkk., 2020)</w:t>
      </w:r>
      <w:r w:rsidR="00684BC2" w:rsidRPr="009A604E">
        <w:rPr>
          <w:sz w:val="22"/>
          <w:szCs w:val="22"/>
          <w:lang w:val="id-ID"/>
        </w:rPr>
        <w:fldChar w:fldCharType="end"/>
      </w:r>
      <w:r w:rsidRPr="009A604E">
        <w:rPr>
          <w:sz w:val="22"/>
          <w:szCs w:val="22"/>
        </w:rPr>
        <w:t xml:space="preserve">. </w:t>
      </w:r>
      <w:r w:rsidR="005F3A3B" w:rsidRPr="009A604E">
        <w:rPr>
          <w:sz w:val="22"/>
          <w:szCs w:val="22"/>
        </w:rPr>
        <w:t>Multinational corporations, in particular, face unique challenges in integrating sustainability into their governance structures. Previous studies have primarily focused on generalized principles and outcomes, offering limited insights into the personal and organizational dynamics that shape governance practices. This study addresses this gap by exploring how senior executives perceive and engage with the challenges of sustainable governance, offering novel insights into the intersection of governance, strategy, and sustainability.</w:t>
      </w:r>
    </w:p>
    <w:p w14:paraId="4DF8223B" w14:textId="73EF0591" w:rsidR="001115C3" w:rsidRPr="009A604E" w:rsidRDefault="001115C3" w:rsidP="001115C3">
      <w:pPr>
        <w:spacing w:after="120"/>
        <w:ind w:firstLine="720"/>
        <w:rPr>
          <w:sz w:val="22"/>
          <w:szCs w:val="22"/>
          <w:lang w:val="id-ID"/>
        </w:rPr>
      </w:pPr>
      <w:r w:rsidRPr="009A604E">
        <w:rPr>
          <w:sz w:val="22"/>
          <w:szCs w:val="22"/>
        </w:rPr>
        <w:t>The present study aims to address this gap by exploring the subjective experiences of senior executives in multinational corporations, focusing on how they perceive and engage with the challenges of implementing sustainable corporate governance</w:t>
      </w:r>
      <w:r w:rsidR="00684BC2" w:rsidRPr="009A604E">
        <w:rPr>
          <w:sz w:val="22"/>
          <w:szCs w:val="22"/>
          <w:lang w:val="id-ID"/>
        </w:rPr>
        <w:t xml:space="preserve"> </w:t>
      </w:r>
      <w:r w:rsidR="00684BC2" w:rsidRPr="009A604E">
        <w:rPr>
          <w:sz w:val="22"/>
          <w:szCs w:val="22"/>
          <w:lang w:val="id-ID"/>
        </w:rPr>
        <w:fldChar w:fldCharType="begin"/>
      </w:r>
      <w:r w:rsidR="00684BC2" w:rsidRPr="009A604E">
        <w:rPr>
          <w:sz w:val="22"/>
          <w:szCs w:val="22"/>
          <w:lang w:val="id-ID"/>
        </w:rPr>
        <w:instrText xml:space="preserve"> ADDIN ZOTERO_ITEM CSL_CITATION {"citationID":"inX5cvqh","properties":{"formattedCitation":"(Sewpersadh, 2019)","plainCitation":"(Sewpersadh, 2019)","noteIndex":0},"citationItems":[{"id":19570,"uris":["http://zotero.org/users/11749608/items/EUINJ5JP"],"itemData":{"id":19570,"type":"article-journal","abstract":"Purpose: The recent collapse of the corporate giant Steinhoff in South Africa (SA) has highlighted the risks of a dominant Chief Executive Officer (CEO) and an ineffective governing board. For this reason, the purpose of this paper is to scrutinize the influence of CEO power attributes and independent governing boards on the growth of a Johannesburg stock exchange-listed firm. Design/methodology/approach: The purpose of this paper is to answer the research question “Under the monitoring role of the board, what CEO attributes, theoretically and in practice preeminent successful firm growth strategies?” This question was answered by examining 130 companies over six years using the econometric methodology of generalized least squares and ordinary least squares with the specific inclusion of generalized method of moments estimation due to its efficiency in controlling for unobserved heterogeneity, endogeneity, autocorrelation, heteroscedasticity, amongst others. The proxies for CEO power are CEO tenure, turnover and professional skills as well as the explanatory variable of board vigilance. The response variable was firm growth. Findings: This study found that CEO tenure is negatively correlated with firm growth indicating that long-tenured CEOs may stagnate the firm's growth. Furthermore, CEO turnover was positively correlated with firm growth indicating that a new CEO may bring innovative strategies that link to this study's finding on CEO tenure. The membership of CEOs to accounting professional bodies and board vigilance are also positively correlated to firm growth. Practical implications: SA firms' growth policy does not solely depend on the neoclassical fundamental determinants of profitability, net worth, and cash flows. Since the value relevance of assessing CEO attributes as well as board vigilance in the SA market has proved to be very significant and will contribute to future decision making on growth strategies. This study innovatively illustrates the different drivers of firm growth, which is distinct from the normal macroeconomic indicators. The practical contribution of the study lies in the fact that organizations now discern which CEO attributes contribute to sustainability and profitability. Social implications: The current depressed economic environment has several negative implications for the citizens of SA. The rising unemployment levels and inflation has deteriorated living conditions. For the economy to recover, SA needs its listed companies to remain strong performers to protect stakeholder interests and attract investments. The people responsible for steering the companies through this difficult time are the CEOs with the governing board protecting the public interest. This study examines these two important constructs concerning firm growth. Originality/value: This study uniquely used a firm growth variable as opposed to the multitude of studies that used firm performance variables. Furthermore, this study's robustness was bolstered by an extensive theoretical framework employed to examine the value of a CEO as a firm growth stimulator. The period of this study is also unique as it examines firms in the aftermath of the global recession of 2008. This study provides a fresh perspective on firm growth indicators and has key implications for policymakers, stakeholders and regulatory establishments. © 2019, Emerald Publishing Limited.","archive":"Scopus","container-title":"Measuring Business Excellence","DOI":"10.1108/MBE-10-2018-0083","issue":"4","note":"publisher: Emerald Group Holdings Ltd.","page":"377-395","title":"An examination of CEO power with board vigilance as a catalyst for firm growth in South Africa","volume":"23","author":[{"family":"Sewpersadh","given":"N.S."}],"issued":{"date-parts":[["2019"]]}}}],"schema":"https://github.com/citation-style-language/schema/raw/master/csl-citation.json"} </w:instrText>
      </w:r>
      <w:r w:rsidR="00684BC2" w:rsidRPr="009A604E">
        <w:rPr>
          <w:sz w:val="22"/>
          <w:szCs w:val="22"/>
          <w:lang w:val="id-ID"/>
        </w:rPr>
        <w:fldChar w:fldCharType="separate"/>
      </w:r>
      <w:r w:rsidR="00684BC2" w:rsidRPr="009A604E">
        <w:rPr>
          <w:sz w:val="22"/>
        </w:rPr>
        <w:t>(Sewpersadh, 2019)</w:t>
      </w:r>
      <w:r w:rsidR="00684BC2" w:rsidRPr="009A604E">
        <w:rPr>
          <w:sz w:val="22"/>
          <w:szCs w:val="22"/>
          <w:lang w:val="id-ID"/>
        </w:rPr>
        <w:fldChar w:fldCharType="end"/>
      </w:r>
      <w:r w:rsidRPr="009A604E">
        <w:rPr>
          <w:sz w:val="22"/>
          <w:szCs w:val="22"/>
        </w:rPr>
        <w:t xml:space="preserve">. </w:t>
      </w:r>
      <w:r w:rsidR="005F3A3B" w:rsidRPr="009A604E">
        <w:rPr>
          <w:sz w:val="22"/>
          <w:szCs w:val="22"/>
        </w:rPr>
        <w:t>This approach enables an in-depth examination of the personal, organizational, and cultural factors that influence governance decisions, providing a richer understanding of the lived realities of corporate leaders. Unlike traditional quantitative methods, which are limited in capturing the nuanced, context-dependent meanings of governance experiences, phenomenology emphasizes the essence of individual experiences and their implications for practice</w:t>
      </w:r>
      <w:proofErr w:type="gramStart"/>
      <w:r w:rsidR="005F3A3B" w:rsidRPr="009A604E">
        <w:rPr>
          <w:sz w:val="22"/>
          <w:szCs w:val="22"/>
        </w:rPr>
        <w:t>.</w:t>
      </w:r>
      <w:r w:rsidRPr="009A604E">
        <w:rPr>
          <w:sz w:val="22"/>
          <w:szCs w:val="22"/>
        </w:rPr>
        <w:t>.</w:t>
      </w:r>
      <w:proofErr w:type="gramEnd"/>
    </w:p>
    <w:p w14:paraId="434617B6" w14:textId="77777777" w:rsidR="001115C3" w:rsidRPr="009A604E" w:rsidRDefault="001115C3" w:rsidP="001115C3">
      <w:pPr>
        <w:spacing w:after="120"/>
        <w:ind w:firstLine="720"/>
        <w:rPr>
          <w:sz w:val="22"/>
          <w:szCs w:val="22"/>
          <w:lang w:val="id-ID"/>
        </w:rPr>
      </w:pPr>
      <w:r w:rsidRPr="009A604E">
        <w:rPr>
          <w:sz w:val="22"/>
          <w:szCs w:val="22"/>
          <w:lang w:val="id-ID"/>
        </w:rPr>
        <w:t>Research into the lived experiences of individuals within specific phenomena has gained significant attention in recent years, particularly in fields where subjective perceptions and personal interpretations play a crucial role. This is especially true in the study of corporate governance, where the impact of governance structures on decision-making and long-term sustainability is deeply intertwined with the perceptions, values, and strategic goals of key organizational actors, such as senior executives. While quantitative research methods have provided valuable insights into the general principles and outcomes of corporate governance, they often fail to capture the nuanced, subjective experiences that shape how these principles are implemented in practice.</w:t>
      </w:r>
    </w:p>
    <w:p w14:paraId="730878A1" w14:textId="77777777" w:rsidR="001115C3" w:rsidRPr="009A604E" w:rsidRDefault="001115C3" w:rsidP="001115C3">
      <w:pPr>
        <w:spacing w:after="120"/>
        <w:ind w:firstLine="720"/>
        <w:rPr>
          <w:sz w:val="22"/>
          <w:szCs w:val="22"/>
          <w:lang w:val="id-ID"/>
        </w:rPr>
      </w:pPr>
      <w:r w:rsidRPr="009A604E">
        <w:rPr>
          <w:sz w:val="22"/>
          <w:szCs w:val="22"/>
          <w:lang w:val="id-ID"/>
        </w:rPr>
        <w:t>One of the key challenges in exploring the deep, subjective meanings behind corporate governance practices is the methodological limitation of traditional approaches</w:t>
      </w:r>
      <w:r w:rsidR="00684BC2" w:rsidRPr="009A604E">
        <w:rPr>
          <w:sz w:val="22"/>
          <w:szCs w:val="22"/>
          <w:lang w:val="id-ID"/>
        </w:rPr>
        <w:t xml:space="preserve"> </w:t>
      </w:r>
      <w:r w:rsidR="00684BC2" w:rsidRPr="009A604E">
        <w:rPr>
          <w:sz w:val="22"/>
          <w:szCs w:val="22"/>
          <w:lang w:val="id-ID"/>
        </w:rPr>
        <w:fldChar w:fldCharType="begin"/>
      </w:r>
      <w:r w:rsidR="00684BC2" w:rsidRPr="009A604E">
        <w:rPr>
          <w:sz w:val="22"/>
          <w:szCs w:val="22"/>
          <w:lang w:val="id-ID"/>
        </w:rPr>
        <w:instrText xml:space="preserve"> ADDIN ZOTERO_ITEM CSL_CITATION {"citationID":"Hf1ZTJT7","properties":{"formattedCitation":"(Galletta dkk., 2021)","plainCitation":"(Galletta dkk., 2021)","noteIndex":0},"citationItems":[{"id":19548,"uris":["http://zotero.org/users/11749608/items/H3DNRCS4"],"itemData":{"id":19548,"type":"article-journal","abstract":"The purpose of this paper is to investigate how banks' climate strategies affect environmental performance. To extend this line of research, the carbon disclosure of worldwide banks is examined. In particular, we focus on specific governance strategies: board of director monitoring and managerial incentives. Panel data are employed on a sample taken from 330 bank-year observations in the period after the financial crisis. The results show an increase in environmental performance through the implementation of managerial incentives related to climate change, associated with the highest level of responsibility of the board of directors. Overall, the present study contributes to both the academic literature and corporate governance, highlighting the importance of banks' business strategy on climate change risks and opportunities with respect to environmental performance goals. © 2021 ERP Environment and John Wiley &amp; Sons Ltd.","archive":"Scopus","container-title":"Business Strategy and the Environment","DOI":"10.1002/bse.2769","issue":"5","note":"publisher: John Wiley and Sons Ltd","page":"2656-2670","title":"Banks' business strategy and environmental effectiveness: The monitoring role of the board of directors and the managerial incentives","volume":"30","author":[{"family":"Galletta","given":"S."},{"family":"Mazzù","given":"S."},{"family":"Naciti","given":"V."}],"issued":{"date-parts":[["2021"]]}}}],"schema":"https://github.com/citation-style-language/schema/raw/master/csl-citation.json"} </w:instrText>
      </w:r>
      <w:r w:rsidR="00684BC2" w:rsidRPr="009A604E">
        <w:rPr>
          <w:sz w:val="22"/>
          <w:szCs w:val="22"/>
          <w:lang w:val="id-ID"/>
        </w:rPr>
        <w:fldChar w:fldCharType="separate"/>
      </w:r>
      <w:r w:rsidR="00684BC2" w:rsidRPr="009A604E">
        <w:rPr>
          <w:sz w:val="22"/>
        </w:rPr>
        <w:t>(Galletta dkk., 2021)</w:t>
      </w:r>
      <w:r w:rsidR="00684BC2" w:rsidRPr="009A604E">
        <w:rPr>
          <w:sz w:val="22"/>
          <w:szCs w:val="22"/>
          <w:lang w:val="id-ID"/>
        </w:rPr>
        <w:fldChar w:fldCharType="end"/>
      </w:r>
      <w:r w:rsidRPr="009A604E">
        <w:rPr>
          <w:sz w:val="22"/>
          <w:szCs w:val="22"/>
          <w:lang w:val="id-ID"/>
        </w:rPr>
        <w:t>. Quantitative methods, such as surveys and statistical analyses, are often ill-equipped to address the complex, context-dependent experiences that influence governance decisions. These methods may overlook the underlying personal and organizational factors, such as the individual values of decision-makers, the unique challenges posed by global operations, and the emotional or ethical dimensions of governance that shape how sustainability is integrated into corporate strategies. As a result, many studies have been unable to offer a comprehensive understanding of how corporate governance is experienced by those directly involved in its implementation.</w:t>
      </w:r>
    </w:p>
    <w:p w14:paraId="2708BEB0" w14:textId="77777777" w:rsidR="001115C3" w:rsidRPr="009A604E" w:rsidRDefault="001115C3" w:rsidP="001115C3">
      <w:pPr>
        <w:spacing w:after="120"/>
        <w:ind w:firstLine="720"/>
        <w:rPr>
          <w:sz w:val="22"/>
          <w:szCs w:val="22"/>
          <w:lang w:val="id-ID"/>
        </w:rPr>
      </w:pPr>
      <w:r w:rsidRPr="009A604E">
        <w:rPr>
          <w:sz w:val="22"/>
          <w:szCs w:val="22"/>
          <w:lang w:val="id-ID"/>
        </w:rPr>
        <w:t>In contrast, phenomenological approaches, by focusing on individuals' lived experiences and the meanings they attribute to these experiences, offer a more appropriate lens through which to explore the complexities of sustainable corporate governance</w:t>
      </w:r>
      <w:r w:rsidR="00D47265" w:rsidRPr="009A604E">
        <w:rPr>
          <w:sz w:val="22"/>
          <w:szCs w:val="22"/>
          <w:lang w:val="id-ID"/>
        </w:rPr>
        <w:t xml:space="preserve"> </w:t>
      </w:r>
      <w:r w:rsidR="00D47265" w:rsidRPr="009A604E">
        <w:rPr>
          <w:sz w:val="22"/>
          <w:szCs w:val="22"/>
          <w:lang w:val="id-ID"/>
        </w:rPr>
        <w:fldChar w:fldCharType="begin"/>
      </w:r>
      <w:r w:rsidR="00D47265" w:rsidRPr="009A604E">
        <w:rPr>
          <w:sz w:val="22"/>
          <w:szCs w:val="22"/>
          <w:lang w:val="id-ID"/>
        </w:rPr>
        <w:instrText xml:space="preserve"> ADDIN ZOTERO_ITEM CSL_CITATION {"citationID":"YRywCBd3","properties":{"formattedCitation":"(Tanthanongsakkun dkk., 2023)","plainCitation":"(Tanthanongsakkun dkk., 2023)","noteIndex":0},"citationItems":[{"id":19554,"uris":["http://zotero.org/users/11749608/items/QJVFNAUE"],"itemData":{"id":19554,"type":"article-journal","abstract":"Carbon emissions have been identified as a major cause of global warming and are harmful to the environment. Given the seriousness of climate changes, businesses are encouraged to adopt corporate strategies to improve environmental performance. Staggered boards (or classified boards) are one of the controversial corporate governance devices being employed by corporations that protect managers from the market for corporate control. This paper explores whether staggered boards can be a useful business strategy to improve carbon emissions. Relying on a novel data set in which the presence of a staggered board is identified through advanced machine learning algorithms and textual analysis, we find that staggered boards bring about significantly worse emission performance by 10.67%. Our results corroborate the premise that staggered boards insulate self-interested managers from market discipline and thus exacerbate agency problems, resulting in more unfavorable outcomes. Further analysis validates the results, that is, propensity score matching, entropy balancing, instrumental-variable analysis, and generalized method of moments (GMM) dynamic panel data estimation. Importantly, we include firm fixed effects to account for unobserved heterogeneity. Our findings indicate that de-staggered boards may help improve emission performance. © 2022 The Authors. Business Strategy and The Environment published by ERP Environment and John Wiley &amp; Sons Ltd.","archive":"Scopus","container-title":"Business Strategy and the Environment","DOI":"10.1002/bse.3174","issue":"1","note":"publisher: John Wiley and Sons Ltd","page":"769-780","title":"Carbon emissions, corporate governance, and staggered boards","volume":"32","author":[{"family":"Tanthanongsakkun","given":"S."},{"family":"Treepongkaruna","given":"S."},{"family":"Jiraporn","given":"P."}],"issued":{"date-parts":[["2023"]]}}}],"schema":"https://github.com/citation-style-language/schema/raw/master/csl-citation.json"} </w:instrText>
      </w:r>
      <w:r w:rsidR="00D47265" w:rsidRPr="009A604E">
        <w:rPr>
          <w:sz w:val="22"/>
          <w:szCs w:val="22"/>
          <w:lang w:val="id-ID"/>
        </w:rPr>
        <w:fldChar w:fldCharType="separate"/>
      </w:r>
      <w:r w:rsidR="00D47265" w:rsidRPr="009A604E">
        <w:rPr>
          <w:sz w:val="22"/>
        </w:rPr>
        <w:t>(Tanthanongsakkun dkk., 2023)</w:t>
      </w:r>
      <w:r w:rsidR="00D47265" w:rsidRPr="009A604E">
        <w:rPr>
          <w:sz w:val="22"/>
          <w:szCs w:val="22"/>
          <w:lang w:val="id-ID"/>
        </w:rPr>
        <w:fldChar w:fldCharType="end"/>
      </w:r>
      <w:r w:rsidRPr="009A604E">
        <w:rPr>
          <w:sz w:val="22"/>
          <w:szCs w:val="22"/>
          <w:lang w:val="id-ID"/>
        </w:rPr>
        <w:t>. This method allows for an in-depth examination of the ways in which senior executives interpret and respond to the challenges of aligning governance with sustainability, providing rich, context-specific insights that are often missed in more traditional approaches. However, the subjective nature of such data also presents challenges in terms of data collection and analysis, requiring a careful, reflective process to capture the essence of these experiences without distorting or oversimplifying them.</w:t>
      </w:r>
    </w:p>
    <w:p w14:paraId="158825B4" w14:textId="77777777" w:rsidR="001115C3" w:rsidRPr="009A604E" w:rsidRDefault="001115C3" w:rsidP="001115C3">
      <w:pPr>
        <w:spacing w:after="120"/>
        <w:ind w:firstLine="720"/>
        <w:rPr>
          <w:sz w:val="22"/>
          <w:szCs w:val="22"/>
          <w:lang w:val="id-ID"/>
        </w:rPr>
      </w:pPr>
      <w:r w:rsidRPr="009A604E">
        <w:rPr>
          <w:sz w:val="22"/>
          <w:szCs w:val="22"/>
          <w:lang w:val="id-ID"/>
        </w:rPr>
        <w:t>Thus, the limitations of previous research methods, particularly their inability to fully engage with the subjective nature of corporate governance practices, highlight the need for qualitative, phenomenological studies that can provide a more holistic and authentic understanding of how these practices unfold in real-world settings.</w:t>
      </w:r>
    </w:p>
    <w:p w14:paraId="231B33F9" w14:textId="2F8389F6" w:rsidR="001115C3" w:rsidRPr="009A604E" w:rsidRDefault="00827A67" w:rsidP="001115C3">
      <w:pPr>
        <w:spacing w:after="120"/>
        <w:ind w:firstLine="720"/>
        <w:rPr>
          <w:sz w:val="22"/>
          <w:szCs w:val="22"/>
          <w:lang w:val="id-ID"/>
        </w:rPr>
      </w:pPr>
      <w:r>
        <w:rPr>
          <w:noProof/>
          <w:lang w:val="id-ID"/>
        </w:rPr>
        <mc:AlternateContent>
          <mc:Choice Requires="wps">
            <w:drawing>
              <wp:anchor distT="0" distB="0" distL="114300" distR="114300" simplePos="0" relativeHeight="251651584" behindDoc="0" locked="0" layoutInCell="1" allowOverlap="1" wp14:anchorId="6450638E" wp14:editId="05D602DA">
                <wp:simplePos x="0" y="0"/>
                <wp:positionH relativeFrom="column">
                  <wp:posOffset>5362575</wp:posOffset>
                </wp:positionH>
                <wp:positionV relativeFrom="paragraph">
                  <wp:posOffset>799465</wp:posOffset>
                </wp:positionV>
                <wp:extent cx="323850" cy="238125"/>
                <wp:effectExtent l="0" t="0" r="0" b="9525"/>
                <wp:wrapNone/>
                <wp:docPr id="2127939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38125"/>
                        </a:xfrm>
                        <a:prstGeom prst="rect">
                          <a:avLst/>
                        </a:prstGeom>
                        <a:solidFill>
                          <a:sysClr val="window" lastClr="FFFFFF"/>
                        </a:solidFill>
                        <a:ln w="6350">
                          <a:noFill/>
                        </a:ln>
                      </wps:spPr>
                      <wps:txbx>
                        <w:txbxContent>
                          <w:p w14:paraId="6F97C108" w14:textId="49175028" w:rsidR="00827A67" w:rsidRPr="00C83E52" w:rsidRDefault="00827A67" w:rsidP="00827A67">
                            <w:pPr>
                              <w:jc w:val="center"/>
                              <w:rPr>
                                <w:sz w:val="20"/>
                                <w:szCs w:val="20"/>
                                <w:lang w:val="en-US"/>
                              </w:rPr>
                            </w:pPr>
                            <w:r w:rsidRPr="00C83E52">
                              <w:rPr>
                                <w:sz w:val="20"/>
                                <w:szCs w:val="20"/>
                                <w:lang w:val="en-US"/>
                              </w:rPr>
                              <w:t>1</w:t>
                            </w:r>
                            <w:r>
                              <w:rPr>
                                <w:sz w:val="20"/>
                                <w:szCs w:val="20"/>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450638E" id="_x0000_s1027" type="#_x0000_t202" style="position:absolute;left:0;text-align:left;margin-left:422.25pt;margin-top:62.95pt;width:25.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2QQIAAIQEAAAOAAAAZHJzL2Uyb0RvYy54bWysVEtv2zAMvg/YfxB0X51n1xlxiixFhgFB&#10;WyAdelZkKRYmi5qkxM5+/SjZeazbaVgOCilSJL+PpGf3ba3JQTivwBR0eDOgRBgOpTK7gn57WX24&#10;o8QHZkqmwYiCHoWn9/P372aNzcUIKtClcASDGJ83tqBVCDbPMs8rUTN/A1YYNEpwNQuoul1WOtZg&#10;9Fpno8HgNmvAldYBF97j7UNnpPMUX0rBw5OUXgSiC4q1hXS6dG7jmc1nLN85ZivF+zLYP1RRM2Uw&#10;6TnUAwuM7J36I1StuAMPMtxwqDOQUnGRMCCa4eANmk3FrEhYkBxvzzT5/xeWPx429tmR0H6GFhuY&#10;QHi7Bv7dIzdZY33e+0ROfe7ROwJtpavjP0Ig+BC5PZ75FG0gHC/Ho/HdFC0cTSgOR9PId3Z5bJ0P&#10;XwTUJAoFddiuVAA7rH3oXE8uMZcHrcqV0jopR7/UjhwYdhYHooSGEs18wMuCrtKvz/bbM21IU9Db&#10;MdYVoxiI8bpU2vSAO4wRbWi3LVFlJAZ94s0WyiPy5aAbJW/5SmHxa8z8zBzODuLFfQhPeEgNmAt6&#10;iZIK3M+/3Ud/bClaKWlwFgvqf+yZEwjoq8FmfxpOJnF4kzKZfhyh4q4t22uL2ddLQFKGuHmWJzH6&#10;B30SpYP6FddmEbOiiRmOuQsaTuIydBuCa8fFYpGccFwtC2uzsfw0JrE1L+0rc7bvX8DGP8Jpaln+&#10;po2db8f6Yh9AqtTjC6s9/TjqaUr6tYy7dK0nr8vHY/4LAAD//wMAUEsDBBQABgAIAAAAIQDhQyo8&#10;4gAAAAsBAAAPAAAAZHJzL2Rvd25yZXYueG1sTI/BTsMwEETvSPyDtUjcqENJqjTEqRACQSWitgGJ&#10;qxsvSSC2I9ttQr+e5QTHnXmanclXk+7ZEZ3vrBFwPYuAoamt6kwj4O318SoF5oM0SvbWoIBv9LAq&#10;zs9ymSk7mh0eq9AwCjE+kwLaEIaMc1+3qKWf2QENeR/WaRnodA1XTo4Urns+j6IF17Iz9KGVA963&#10;WH9VBy3gfaye3Ga9/twOz+Vpc6rKF3wohbi8mO5ugQWcwh8Mv/WpOhTUaW8PRnnWC0jjOCGUjHmy&#10;BEZEukxI2ZOyuImBFzn/v6H4AQAA//8DAFBLAQItABQABgAIAAAAIQC2gziS/gAAAOEBAAATAAAA&#10;AAAAAAAAAAAAAAAAAABbQ29udGVudF9UeXBlc10ueG1sUEsBAi0AFAAGAAgAAAAhADj9If/WAAAA&#10;lAEAAAsAAAAAAAAAAAAAAAAALwEAAF9yZWxzLy5yZWxzUEsBAi0AFAAGAAgAAAAhAA/b97ZBAgAA&#10;hAQAAA4AAAAAAAAAAAAAAAAALgIAAGRycy9lMm9Eb2MueG1sUEsBAi0AFAAGAAgAAAAhAOFDKjzi&#10;AAAACwEAAA8AAAAAAAAAAAAAAAAAmwQAAGRycy9kb3ducmV2LnhtbFBLBQYAAAAABAAEAPMAAACq&#10;BQAAAAA=&#10;" fillcolor="window" stroked="f" strokeweight=".5pt">
                <v:textbox>
                  <w:txbxContent>
                    <w:p w14:paraId="6F97C108" w14:textId="49175028" w:rsidR="00827A67" w:rsidRPr="00C83E52" w:rsidRDefault="00827A67" w:rsidP="00827A67">
                      <w:pPr>
                        <w:jc w:val="center"/>
                        <w:rPr>
                          <w:sz w:val="20"/>
                          <w:szCs w:val="20"/>
                          <w:lang w:val="en-US"/>
                        </w:rPr>
                      </w:pPr>
                      <w:r w:rsidRPr="00C83E52">
                        <w:rPr>
                          <w:sz w:val="20"/>
                          <w:szCs w:val="20"/>
                          <w:lang w:val="en-US"/>
                        </w:rPr>
                        <w:t>1</w:t>
                      </w:r>
                      <w:r>
                        <w:rPr>
                          <w:sz w:val="20"/>
                          <w:szCs w:val="20"/>
                          <w:lang w:val="en-US"/>
                        </w:rPr>
                        <w:t>1</w:t>
                      </w:r>
                    </w:p>
                  </w:txbxContent>
                </v:textbox>
              </v:shape>
            </w:pict>
          </mc:Fallback>
        </mc:AlternateContent>
      </w:r>
      <w:r w:rsidR="001115C3" w:rsidRPr="009A604E">
        <w:rPr>
          <w:sz w:val="22"/>
          <w:szCs w:val="22"/>
          <w:lang w:val="id-ID"/>
        </w:rPr>
        <w:t xml:space="preserve">While existing research on corporate governance, particularly within multinational corporations, has contributed valuable insights into the structures, principles, and strategies employed, it largely focuses on theoretical frameworks or quantitative analyses that examine general trends and </w:t>
      </w:r>
      <w:r w:rsidR="001115C3" w:rsidRPr="009A604E">
        <w:rPr>
          <w:sz w:val="22"/>
          <w:szCs w:val="22"/>
          <w:lang w:val="id-ID"/>
        </w:rPr>
        <w:lastRenderedPageBreak/>
        <w:t>outcomes</w:t>
      </w:r>
      <w:r w:rsidR="00D47265" w:rsidRPr="009A604E">
        <w:rPr>
          <w:sz w:val="22"/>
          <w:szCs w:val="22"/>
          <w:lang w:val="id-ID"/>
        </w:rPr>
        <w:t xml:space="preserve"> </w:t>
      </w:r>
      <w:r w:rsidR="00D47265" w:rsidRPr="009A604E">
        <w:rPr>
          <w:sz w:val="22"/>
          <w:szCs w:val="22"/>
          <w:lang w:val="id-ID"/>
        </w:rPr>
        <w:fldChar w:fldCharType="begin"/>
      </w:r>
      <w:r w:rsidR="00D47265" w:rsidRPr="009A604E">
        <w:rPr>
          <w:sz w:val="22"/>
          <w:szCs w:val="22"/>
          <w:lang w:val="id-ID"/>
        </w:rPr>
        <w:instrText xml:space="preserve"> ADDIN ZOTERO_ITEM CSL_CITATION {"citationID":"npXePLh1","properties":{"formattedCitation":"(Mattera &amp; Soto, 2023)","plainCitation":"(Mattera &amp; Soto, 2023)","noteIndex":0},"citationItems":[{"id":19584,"uris":["http://zotero.org/users/11749608/items/SAYIMSUF"],"itemData":{"id":19584,"type":"article-journal","abstract":"Purpose: The purpose of this study is to evaluate the influence of sustainable business models in building corporate reputation and resilience. Specifically, the financial performance of listed companies will be evaluated following the beginning of the armed conflict in Ukraine on 24 February 2022. Taking as a standpoint the triple bottom line (TBL) theory, the case of firms listed in the Spanish IBEX-35 index is analysed. The present paper evaluates financial performance and corporate reputation, based on the usage of Environment, Social and Corporate Governance (ESG) strategies to adhere to their Corporate Social Responsibility (CSR). Design/methodology/approach: To achieve this goal, energy firms operating in Spain are evaluated. Specifically, companies operating in the energy sector listed in the IBEX35, benchmark index of Spain’s largest trading platform are considered. The analysis comprises evaluating the fluctuation in the value of their stock and the influence of usage of renewable and other power sources that limit dependency on foreign events. In addition, communication and dissemination of non-financial information, and usage of international standards within these areas, are considered as well. Findings: Results show long-term CSR commitments and ESG strategies significantly impact firm’s ability to overcome crises and improve financial performance. Additionally, energy firms that adhered to the energy transition into renewables display stronger performance and lower dependency on uncertain and weakened markets during the Ukraine armed conflict. Practical implications: The results contribute to the advancement of the TBL theory and the creation of sustainable business models. By introducing ESG strategies, firms are able to improve the people-profit-planet balance and at the same time improve their resilience. This contributes to an overall enhancement of their capacity to overcome crises and sustain their financial performance and corporate reputation over time. Policy makers can also benefit from this knowledge, introducing regulation that promotes and supports companies’ development of their CSR through ESG strategies, to ensure more sustainable organisations that can support the economy in a context of hardship. Originality/value: The analysis evaluates the results of a firm’s long-term commitment to the TBL through adequate ESG strategies when operating in unexpected and unprecedented hostile environments. Previous research has focused on the link between some variables concerning financial performance and ESG strategies yet not considering the specific context of an enhanced crisis (i.e. a pandemic and armed conflict). This can provide significant insight into the contribution that people, profit and planet can provide in building sustainable and successful organisations. Lastly, the paper outlines the key factors that contributed to the firm’s ability to overcome extreme hardships, such as operating in an environment affected by a combination of two crises. © 2022, Marina Mattera and Federico Soto.","archive":"Scopus","container-title":"Journal of Risk Finance","DOI":"10.1108/JRF-04-2022-0092","issue":"1","note":"publisher: Emerald Publishing","page":"122-142","title":"Dodging the bullet: overcoming the financial impact of Ukraine armed conflict with sustainable business strategies and environmental approaches","volume":"24","author":[{"family":"Mattera","given":"M."},{"family":"Soto","given":"F."}],"issued":{"date-parts":[["2023"]]}}}],"schema":"https://github.com/citation-style-language/schema/raw/master/csl-citation.json"} </w:instrText>
      </w:r>
      <w:r w:rsidR="00D47265" w:rsidRPr="009A604E">
        <w:rPr>
          <w:sz w:val="22"/>
          <w:szCs w:val="22"/>
          <w:lang w:val="id-ID"/>
        </w:rPr>
        <w:fldChar w:fldCharType="separate"/>
      </w:r>
      <w:r w:rsidR="00D47265" w:rsidRPr="009A604E">
        <w:rPr>
          <w:sz w:val="22"/>
        </w:rPr>
        <w:t>(Mattera &amp; Soto, 2023)</w:t>
      </w:r>
      <w:r w:rsidR="00D47265" w:rsidRPr="009A604E">
        <w:rPr>
          <w:sz w:val="22"/>
          <w:szCs w:val="22"/>
          <w:lang w:val="id-ID"/>
        </w:rPr>
        <w:fldChar w:fldCharType="end"/>
      </w:r>
      <w:r w:rsidR="001115C3" w:rsidRPr="009A604E">
        <w:rPr>
          <w:sz w:val="22"/>
          <w:szCs w:val="22"/>
          <w:lang w:val="id-ID"/>
        </w:rPr>
        <w:t>. These practical, often standardized approaches provide useful guidance but fail to fully capture the personal, subjective experiences that shape the implementation of sustainable governance practices. For instance, common models of corporate governance tend to overlook the deeper meanings and personal interpretations of senior executives, whose decisions are influenced by complex and often conflicting factors, including ethical considerations, organizational culture, and the pressures of managing global operations. As a result, these studies offer a limited understanding of the ways in which governance strategies are actually experienced and enacted in practice.</w:t>
      </w:r>
    </w:p>
    <w:p w14:paraId="65A5992B" w14:textId="77777777" w:rsidR="001115C3" w:rsidRPr="009A604E" w:rsidRDefault="001115C3" w:rsidP="001115C3">
      <w:pPr>
        <w:spacing w:after="120"/>
        <w:ind w:firstLine="720"/>
        <w:rPr>
          <w:sz w:val="22"/>
          <w:szCs w:val="22"/>
          <w:lang w:val="id-ID"/>
        </w:rPr>
      </w:pPr>
      <w:r w:rsidRPr="009A604E">
        <w:rPr>
          <w:sz w:val="22"/>
          <w:szCs w:val="22"/>
          <w:lang w:val="id-ID"/>
        </w:rPr>
        <w:t>The limitations of these conventional approaches highlight the need for more nuanced, qualitative research that can explore the lived experiences of decision-makers in greater depth. Traditional methods, while useful for identifying broad patterns or correlations, are insufficient for capturing the rich, context-dependent meanings behind corporate governance decisions. A phenomenological approach, with its emphasis on understanding the essence of individuals' lived experiences, presents an ideal alternative</w:t>
      </w:r>
      <w:r w:rsidR="00D47265" w:rsidRPr="009A604E">
        <w:rPr>
          <w:sz w:val="22"/>
          <w:szCs w:val="22"/>
          <w:lang w:val="id-ID"/>
        </w:rPr>
        <w:t xml:space="preserve"> </w:t>
      </w:r>
      <w:r w:rsidR="00D47265" w:rsidRPr="009A604E">
        <w:rPr>
          <w:sz w:val="22"/>
          <w:szCs w:val="22"/>
          <w:lang w:val="id-ID"/>
        </w:rPr>
        <w:fldChar w:fldCharType="begin"/>
      </w:r>
      <w:r w:rsidR="00D47265" w:rsidRPr="009A604E">
        <w:rPr>
          <w:sz w:val="22"/>
          <w:szCs w:val="22"/>
          <w:lang w:val="id-ID"/>
        </w:rPr>
        <w:instrText xml:space="preserve"> ADDIN ZOTERO_ITEM CSL_CITATION {"citationID":"oxaa5GIR","properties":{"formattedCitation":"(Oyewo dkk., 2023)","plainCitation":"(Oyewo dkk., 2023)","noteIndex":0},"citationItems":[{"id":19552,"uris":["http://zotero.org/users/11749608/items/28G38WPZ"],"itemData":{"id":19552,"type":"article-journal","abstract":"Purpose: This study aims to investigate corporate governance mechanisms affecting environmental and social sustainability accounting practice (SAP). Four internal (quality of information technology [QIT], market orientation, business strategy and structure of accounting department) and two external (environmental uncertainty and market competition) governance mechanisms were examined. Design/methodology/approach: The population of the study is comprised of 56 publicly listed manufacturing companies on the Mainboard of the Nigerian Stock Exchange. Data were collected using a questionnaire which was completed by senior finance personnel in each company in the sample. Structural equation modelling, logistic regression and quantile regression analysis were used to analyse data. Findings: The results show that the extent to which Nigerian companies have implemented SAP is moderate. The authors find that the level of SAP implementation is significantly associated with market orientation and business strategy, but not with the QIT and structure of accounting department. The results also show that both external corporate governance mechanisms (i.e. environmental uncertainty and intensity of competition) have no significant effect on SAP. Practical implications: The insignificant influence of external corporate governance mechanisms on SAP corroborates the contention that external pressure on companies to implement sustainability initiatives in developing countries is weak. Originality/value: This study contributes to the literature on sustainability in developing countries and incrementally adds to knowledge on the corporate governance mechanisms driving SAP in jurisdictions characterised by lax regulatory framework and weak institutional apparatus on sustainability. © 2022, Emerald Publishing Limited.","archive":"Scopus","container-title":"Corporate Governance (Bingley)","DOI":"10.1108/CG-09-2021-0336","issue":"2","note":"publisher: Emerald Publishing","page":"397-421","title":"Drivers of environmental and social sustainability accounting practices in Nigeria: a corporate governance perspective","volume":"23","author":[{"family":"Oyewo","given":"B."},{"family":"Tawiah","given":"V."},{"family":"Hussain","given":"S.T."}],"issued":{"date-parts":[["2023"]]}}}],"schema":"https://github.com/citation-style-language/schema/raw/master/csl-citation.json"} </w:instrText>
      </w:r>
      <w:r w:rsidR="00D47265" w:rsidRPr="009A604E">
        <w:rPr>
          <w:sz w:val="22"/>
          <w:szCs w:val="22"/>
          <w:lang w:val="id-ID"/>
        </w:rPr>
        <w:fldChar w:fldCharType="separate"/>
      </w:r>
      <w:r w:rsidR="00D47265" w:rsidRPr="009A604E">
        <w:rPr>
          <w:sz w:val="22"/>
        </w:rPr>
        <w:t>(Oyewo dkk., 2023)</w:t>
      </w:r>
      <w:r w:rsidR="00D47265" w:rsidRPr="009A604E">
        <w:rPr>
          <w:sz w:val="22"/>
          <w:szCs w:val="22"/>
          <w:lang w:val="id-ID"/>
        </w:rPr>
        <w:fldChar w:fldCharType="end"/>
      </w:r>
      <w:r w:rsidRPr="009A604E">
        <w:rPr>
          <w:sz w:val="22"/>
          <w:szCs w:val="22"/>
          <w:lang w:val="id-ID"/>
        </w:rPr>
        <w:t>. By focusing on the personal narratives and reflections of senior executives, phenomenology allows for a deeper exploration of how governance is practiced and experienced, offering insights into the complex, often contradictory realities that decision-makers face when attempting to integrate sustainability into their corporate strategies.</w:t>
      </w:r>
    </w:p>
    <w:p w14:paraId="1CF1EBED" w14:textId="77777777" w:rsidR="001115C3" w:rsidRPr="009A604E" w:rsidRDefault="001115C3" w:rsidP="001115C3">
      <w:pPr>
        <w:spacing w:after="120"/>
        <w:ind w:firstLine="720"/>
        <w:rPr>
          <w:sz w:val="22"/>
          <w:szCs w:val="22"/>
          <w:lang w:val="id-ID"/>
        </w:rPr>
      </w:pPr>
      <w:r w:rsidRPr="009A604E">
        <w:rPr>
          <w:sz w:val="22"/>
          <w:szCs w:val="22"/>
          <w:lang w:val="id-ID"/>
        </w:rPr>
        <w:t>Thus, while the practical frameworks currently employed in corporate governance provide a solid foundation, they do not fully address the experiential aspects of governance that influence decision-making processes in multinational corporations. Adopting a phenomenological approach will enable a more comprehensive understanding of these experiences, shedding light on the personal, organizational, and cultural factors that shape the application of sustainable corporate governance and offering a more holistic view of this critical area of business practice.</w:t>
      </w:r>
    </w:p>
    <w:p w14:paraId="07F4ACC2" w14:textId="77777777" w:rsidR="001115C3" w:rsidRPr="009A604E" w:rsidRDefault="001115C3" w:rsidP="001115C3">
      <w:pPr>
        <w:spacing w:after="120"/>
        <w:ind w:firstLine="720"/>
        <w:rPr>
          <w:sz w:val="22"/>
          <w:szCs w:val="22"/>
          <w:lang w:val="id-ID"/>
        </w:rPr>
      </w:pPr>
      <w:r w:rsidRPr="009A604E">
        <w:rPr>
          <w:sz w:val="22"/>
          <w:szCs w:val="22"/>
          <w:lang w:val="id-ID"/>
        </w:rPr>
        <w:t>Previous research on corporate governance, particularly in the context of multinational corporations, has predominantly focused on theoretical frameworks and quantitative analysis. These studies have provided valuable insights into the structures and outcomes of governance practices but often fail to address the subjective, lived experiences of the individuals involved in governance decisions</w:t>
      </w:r>
      <w:r w:rsidR="00D47265" w:rsidRPr="009A604E">
        <w:rPr>
          <w:sz w:val="22"/>
          <w:szCs w:val="22"/>
          <w:lang w:val="id-ID"/>
        </w:rPr>
        <w:t xml:space="preserve"> </w:t>
      </w:r>
      <w:r w:rsidR="00D47265" w:rsidRPr="009A604E">
        <w:rPr>
          <w:sz w:val="22"/>
          <w:szCs w:val="22"/>
          <w:lang w:val="id-ID"/>
        </w:rPr>
        <w:fldChar w:fldCharType="begin"/>
      </w:r>
      <w:r w:rsidR="00D47265" w:rsidRPr="009A604E">
        <w:rPr>
          <w:sz w:val="22"/>
          <w:szCs w:val="22"/>
          <w:lang w:val="id-ID"/>
        </w:rPr>
        <w:instrText xml:space="preserve"> ADDIN ZOTERO_ITEM CSL_CITATION {"citationID":"2BphqDlM","properties":{"formattedCitation":"(Adu dkk., 2022)","plainCitation":"(Adu dkk., 2022)","noteIndex":0},"citationItems":[{"id":19566,"uris":["http://zotero.org/users/11749608/items/JAPM8XXJ"],"itemData":{"id":19566,"type":"article-journal","abstract":"This paper contributes to the extant business strategy and sustainable development literature by investigating the effect of a broad corporate governance disclosure index on executive compensation and, subsequently, determines the extent to which the pay-for-sustainability sensitivity is moderated by corporate governance mechanisms. Employing data collected from 16 Sub-Saharan Africa countries over the period from 2007 to 2018, the findings are as follows: First, we report that better-governed banks pay lower compensation packages to their executives. Second, we find that executive compensation increases sustainable banking disclosures in the countries. Third, the findings show that executive compensation is negatively associated with environmental performance. Finally, we detect that the association between executive pay and sustainable banking performance is significantly moderated by corporate governance mechanisms, revealing that the pay-for-sustainability sensitivity is mainly positive and improves in banks with high corporate governance quality. This implies that the pay-for-sustainability sensitivity is contingent on the quality of the bank's internal governance mechanisms. Our findings have key implications for banking practitioners, regulators, environmental activists, and policy-makers. © 2022 ERP Environment and John Wiley &amp; Sons Ltd.","archive":"Scopus","container-title":"Business Strategy and the Environment","DOI":"10.1002/bse.2963","issue":"4","note":"publisher: John Wiley and Sons Ltd","page":"1439-1463","title":"Executive compensation, environmental performance, and sustainable banking: The moderating effect of governance mechanisms","volume":"31","author":[{"family":"Adu","given":"D.A."},{"family":"Al-Najjar","given":"B."},{"family":"Sitthipongpanich","given":"T."}],"issued":{"date-parts":[["2022"]]}}}],"schema":"https://github.com/citation-style-language/schema/raw/master/csl-citation.json"} </w:instrText>
      </w:r>
      <w:r w:rsidR="00D47265" w:rsidRPr="009A604E">
        <w:rPr>
          <w:sz w:val="22"/>
          <w:szCs w:val="22"/>
          <w:lang w:val="id-ID"/>
        </w:rPr>
        <w:fldChar w:fldCharType="separate"/>
      </w:r>
      <w:r w:rsidR="00D47265" w:rsidRPr="009A604E">
        <w:rPr>
          <w:sz w:val="22"/>
        </w:rPr>
        <w:t>(Adu dkk., 2022)</w:t>
      </w:r>
      <w:r w:rsidR="00D47265" w:rsidRPr="009A604E">
        <w:rPr>
          <w:sz w:val="22"/>
          <w:szCs w:val="22"/>
          <w:lang w:val="id-ID"/>
        </w:rPr>
        <w:fldChar w:fldCharType="end"/>
      </w:r>
      <w:r w:rsidRPr="009A604E">
        <w:rPr>
          <w:sz w:val="22"/>
          <w:szCs w:val="22"/>
          <w:lang w:val="id-ID"/>
        </w:rPr>
        <w:t>. For example, research on the impact of sustainability initiatives within corporate governance has largely ignored how senior executives experience and interpret these challenges on a personal level. Theoretical frameworks such as agency theory and stakeholder theory have been central to understanding governance dynamics, yet they do not fully account for the personal and ethical dimensions that shape decision-making in complex, global contexts. This gap in the literature calls for a more nuanced exploration of governance practices through the lens of personal experience, which is the focus of this study.</w:t>
      </w:r>
    </w:p>
    <w:p w14:paraId="509430CB" w14:textId="77777777" w:rsidR="001115C3" w:rsidRPr="009A604E" w:rsidRDefault="001115C3" w:rsidP="001115C3">
      <w:pPr>
        <w:spacing w:after="120"/>
        <w:ind w:firstLine="720"/>
        <w:rPr>
          <w:sz w:val="22"/>
          <w:szCs w:val="22"/>
          <w:lang w:val="id-ID"/>
        </w:rPr>
      </w:pPr>
      <w:r w:rsidRPr="009A604E">
        <w:rPr>
          <w:sz w:val="22"/>
          <w:szCs w:val="22"/>
          <w:lang w:val="id-ID"/>
        </w:rPr>
        <w:t>In response to this gap, a phenomenological approach is adopted to explore the lived experiences of senior executives in multinational corporations as they navigate the challenges of aligning business strategies with sustainable governance practices</w:t>
      </w:r>
      <w:r w:rsidR="00D47265" w:rsidRPr="009A604E">
        <w:rPr>
          <w:sz w:val="22"/>
          <w:szCs w:val="22"/>
          <w:lang w:val="id-ID"/>
        </w:rPr>
        <w:t xml:space="preserve"> </w:t>
      </w:r>
      <w:r w:rsidR="004F717C" w:rsidRPr="009A604E">
        <w:rPr>
          <w:sz w:val="22"/>
          <w:szCs w:val="22"/>
          <w:lang w:val="id-ID"/>
        </w:rPr>
        <w:fldChar w:fldCharType="begin"/>
      </w:r>
      <w:r w:rsidR="004F717C" w:rsidRPr="009A604E">
        <w:rPr>
          <w:sz w:val="22"/>
          <w:szCs w:val="22"/>
          <w:lang w:val="id-ID"/>
        </w:rPr>
        <w:instrText xml:space="preserve"> ADDIN ZOTERO_ITEM CSL_CITATION {"citationID":"E9DHtfgk","properties":{"formattedCitation":"(Mattera dkk., 2020)","plainCitation":"(Mattera dkk., 2020)","noteIndex":0},"citationItems":[{"id":19564,"uris":["http://zotero.org/users/11749608/items/ZAS24XGM"],"itemData":{"id":19564,"type":"article-journal","abstract":"Purpose: The purpose of this study is to analyse how implementation of corporate social responsibility (CSR) policies following United Nations’ Global Compact (UNGC) guidelines can contribute to firm’s performance during a global crisis, such as the case of COVID-19. Based on the triple bottom line theoretical framework, this work explores the relation between the creation of value and sustainable business models with long-term strategies and strong policy commitments, and their performance in the stock market years later during a crisis. By doing so, new insights on strategic management to create value and consolidate sustainable business models are provided. Design/methodology/approach: The present study analyses firms within the context of the European Union, considering the involvement of the region in achieving sustainable development. In particular, the long-term impact in the usage of the UNGC management model and the firm's sustainability performance based on the results during COVID-19 crisis. To achieve this goal, energy firms operating in Spain and subscribing to UNGC were evaluated, specifically those publicly listed in the IBEX35, benchmark index of Spain's Stock Market Interconnection System. In addition, firms were also considered regarding the strong impact within their industries not only nationally but also worldwide. Findings: Findings show long-term CSR strategies and a strong commitment to sustainable development contribute to firm’s overcoming periods of economic crisis. In addition, considering the environmental impact of the firms’ actions, transition to sustainable business and widening portfolio in the case of energy firms proved to have a positive impact in overcoming a hard context such as COVID-19. The virtuous cycle can be created by honouring the social contract, yet the tools and management models shall be further tailored to ensure an effective win-win situation. Originality/value: This study evaluates a company's strategic involvement in sustainability, considering the UNGC 10 principles and SDG and the effects of these strategies in the long-term. Specifically, the role of UNGC management model is evaluated in designing effective policies that can help firms better overcome a context of crisis such as COVID-19. Consequently, researchers studying business strategy can incorporate the findings in strategic planning. Practitioners can learn the implications of CSR strategic planning in the long-term. Moreover, work illustrates corporate results in sustainability matters after the first decade of the UNGC management model and the impact of a crisis context. © 2020, Emerald Publishing Limited.","archive":"Scopus","container-title":"Corporate Governance (Bingley)","DOI":"10.1108/CG-07-2020-0309","issue":"6","note":"publisher: Emerald Group Holdings Ltd.","page":"1100-1116","title":"Facing a global crisis - how sustainable business models helped firms overcome COVID","volume":"21","author":[{"family":"Mattera","given":"M."},{"family":"Soto Gonzalez","given":"F."},{"family":"Alba Ruiz-Morales","given":"C."},{"family":"Gava","given":"L."}],"issued":{"date-parts":[["2020"]]}}}],"schema":"https://github.com/citation-style-language/schema/raw/master/csl-citation.json"} </w:instrText>
      </w:r>
      <w:r w:rsidR="004F717C" w:rsidRPr="009A604E">
        <w:rPr>
          <w:sz w:val="22"/>
          <w:szCs w:val="22"/>
          <w:lang w:val="id-ID"/>
        </w:rPr>
        <w:fldChar w:fldCharType="separate"/>
      </w:r>
      <w:r w:rsidR="004F717C" w:rsidRPr="009A604E">
        <w:rPr>
          <w:sz w:val="22"/>
        </w:rPr>
        <w:t>(Mattera dkk., 2020)</w:t>
      </w:r>
      <w:r w:rsidR="004F717C" w:rsidRPr="009A604E">
        <w:rPr>
          <w:sz w:val="22"/>
          <w:szCs w:val="22"/>
          <w:lang w:val="id-ID"/>
        </w:rPr>
        <w:fldChar w:fldCharType="end"/>
      </w:r>
      <w:r w:rsidRPr="009A604E">
        <w:rPr>
          <w:sz w:val="22"/>
          <w:szCs w:val="22"/>
          <w:lang w:val="id-ID"/>
        </w:rPr>
        <w:t>. This method is particularly suited for investigating the subjective meanings behind executive decision-making, allowing for a deeper understanding of the complexities and personal dimensions of corporate governance. By focusing on individual experiences, phenomenology provides rich, detailed insights that go beyond statistical correlations or general trends, offering a holistic view of the phenomenon. This study aims to reveal how sustainability is not just a theoretical concept but an experience that executives engage with in their daily decision-making processes, shaped by personal values, organizational pressures, and global contexts.</w:t>
      </w:r>
    </w:p>
    <w:p w14:paraId="3A86AB67" w14:textId="261A7AE7" w:rsidR="004F717C" w:rsidRPr="009A604E" w:rsidRDefault="00827A67" w:rsidP="00A86DC6">
      <w:pPr>
        <w:spacing w:after="120"/>
        <w:ind w:firstLine="720"/>
        <w:rPr>
          <w:sz w:val="22"/>
          <w:szCs w:val="22"/>
          <w:lang w:val="id-ID"/>
        </w:rPr>
      </w:pPr>
      <w:r>
        <w:rPr>
          <w:noProof/>
          <w:lang w:val="id-ID"/>
        </w:rPr>
        <mc:AlternateContent>
          <mc:Choice Requires="wps">
            <w:drawing>
              <wp:anchor distT="0" distB="0" distL="114300" distR="114300" simplePos="0" relativeHeight="251652608" behindDoc="0" locked="0" layoutInCell="1" allowOverlap="1" wp14:anchorId="60E9BCA5" wp14:editId="5146C9BA">
                <wp:simplePos x="0" y="0"/>
                <wp:positionH relativeFrom="column">
                  <wp:posOffset>5391150</wp:posOffset>
                </wp:positionH>
                <wp:positionV relativeFrom="paragraph">
                  <wp:posOffset>1428115</wp:posOffset>
                </wp:positionV>
                <wp:extent cx="323850" cy="238125"/>
                <wp:effectExtent l="0" t="0" r="0" b="9525"/>
                <wp:wrapNone/>
                <wp:docPr id="617201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38125"/>
                        </a:xfrm>
                        <a:prstGeom prst="rect">
                          <a:avLst/>
                        </a:prstGeom>
                        <a:solidFill>
                          <a:sysClr val="window" lastClr="FFFFFF"/>
                        </a:solidFill>
                        <a:ln w="6350">
                          <a:noFill/>
                        </a:ln>
                      </wps:spPr>
                      <wps:txbx>
                        <w:txbxContent>
                          <w:p w14:paraId="1E6AE813" w14:textId="11D76B78" w:rsidR="00827A67" w:rsidRPr="00C83E52" w:rsidRDefault="00827A67" w:rsidP="00827A67">
                            <w:pPr>
                              <w:jc w:val="center"/>
                              <w:rPr>
                                <w:sz w:val="20"/>
                                <w:szCs w:val="20"/>
                                <w:lang w:val="en-US"/>
                              </w:rPr>
                            </w:pPr>
                            <w:r w:rsidRPr="00C83E52">
                              <w:rPr>
                                <w:sz w:val="20"/>
                                <w:szCs w:val="20"/>
                                <w:lang w:val="en-US"/>
                              </w:rPr>
                              <w:t>1</w:t>
                            </w:r>
                            <w:r>
                              <w:rPr>
                                <w:sz w:val="20"/>
                                <w:szCs w:val="20"/>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0E9BCA5" id="_x0000_s1028" type="#_x0000_t202" style="position:absolute;left:0;text-align:left;margin-left:424.5pt;margin-top:112.45pt;width:25.5pt;height: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1YSQgIAAIQEAAAOAAAAZHJzL2Uyb0RvYy54bWysVEtv2zAMvg/YfxB0X51n1xlxiixFhgFB&#10;WyAdelZkKRYmi5qkxM5+/SjZeazbaVgOCilSJL+PpGf3ba3JQTivwBR0eDOgRBgOpTK7gn57WX24&#10;o8QHZkqmwYiCHoWn9/P372aNzcUIKtClcASDGJ83tqBVCDbPMs8rUTN/A1YYNEpwNQuoul1WOtZg&#10;9Fpno8HgNmvAldYBF97j7UNnpPMUX0rBw5OUXgSiC4q1hXS6dG7jmc1nLN85ZivF+zLYP1RRM2Uw&#10;6TnUAwuM7J36I1StuAMPMtxwqDOQUnGRMCCa4eANmk3FrEhYkBxvzzT5/xeWPx429tmR0H6GFhuY&#10;QHi7Bv7dIzdZY33e+0ROfe7ROwJtpavjP0Ig+BC5PZ75FG0gHC/Ho/HdFC0cTSgOR9PId3Z5bJ0P&#10;XwTUJAoFddiuVAA7rH3oXE8uMZcHrcqV0jopR7/UjhwYdhYHooSGEs18wMuCrtKvz/bbM21IU9Db&#10;MdYVoxiI8bpU2vSAO4wRbWi3LVEllh9jxZstlEfky0E3St7ylcLi15j5mTmcHcSL+xCe8JAaMBf0&#10;EiUVuJ9/u4/+2FK0UtLgLBbU/9gzJxDQV4PN/jScTOLwJmUy/ThCxV1bttcWs6+XgKQMcfMsT2L0&#10;D/okSgf1K67NImZFEzMccxc0nMRl6DYE146LxSI54bhaFtZmY/lpTGJrXtpX5mzfv4CNf4TT1LL8&#10;TRs73471xT6AVKnHF1Z7+nHU05T0axl36VpPXpePx/wXAAAA//8DAFBLAwQUAAYACAAAACEATbuj&#10;T+IAAAALAQAADwAAAGRycy9kb3ducmV2LnhtbEyPUUvDMBSF3wX/Q7iCby6xlLHWpkNE0YFlWgVf&#10;s+baVpukJNla9+t3fdLHe+7hnO8U69kM7IA+9M5KuF4IYGgbp3vbSnh/e7haAQtRWa0GZ1HCDwZY&#10;l+dnhcq1m+wrHurYMgqxIVcSuhjHnPPQdGhUWLgRLf0+nTcq0ulbrr2aKNwMPBFiyY3qLTV0asS7&#10;Dpvvem8kfEz1o99uNl8v41N13B7r6hnvKykvL+bbG2AR5/hnhl98QoeSmHZub3Vgg4RVmtGWKCFJ&#10;0gwYOTIhSNmRskxS4GXB/28oTwAAAP//AwBQSwECLQAUAAYACAAAACEAtoM4kv4AAADhAQAAEwAA&#10;AAAAAAAAAAAAAAAAAAAAW0NvbnRlbnRfVHlwZXNdLnhtbFBLAQItABQABgAIAAAAIQA4/SH/1gAA&#10;AJQBAAALAAAAAAAAAAAAAAAAAC8BAABfcmVscy8ucmVsc1BLAQItABQABgAIAAAAIQDPC1YSQgIA&#10;AIQEAAAOAAAAAAAAAAAAAAAAAC4CAABkcnMvZTJvRG9jLnhtbFBLAQItABQABgAIAAAAIQBNu6NP&#10;4gAAAAsBAAAPAAAAAAAAAAAAAAAAAJwEAABkcnMvZG93bnJldi54bWxQSwUGAAAAAAQABADzAAAA&#10;qwUAAAAA&#10;" fillcolor="window" stroked="f" strokeweight=".5pt">
                <v:textbox>
                  <w:txbxContent>
                    <w:p w14:paraId="1E6AE813" w14:textId="11D76B78" w:rsidR="00827A67" w:rsidRPr="00C83E52" w:rsidRDefault="00827A67" w:rsidP="00827A67">
                      <w:pPr>
                        <w:jc w:val="center"/>
                        <w:rPr>
                          <w:sz w:val="20"/>
                          <w:szCs w:val="20"/>
                          <w:lang w:val="en-US"/>
                        </w:rPr>
                      </w:pPr>
                      <w:r w:rsidRPr="00C83E52">
                        <w:rPr>
                          <w:sz w:val="20"/>
                          <w:szCs w:val="20"/>
                          <w:lang w:val="en-US"/>
                        </w:rPr>
                        <w:t>1</w:t>
                      </w:r>
                      <w:r>
                        <w:rPr>
                          <w:sz w:val="20"/>
                          <w:szCs w:val="20"/>
                          <w:lang w:val="en-US"/>
                        </w:rPr>
                        <w:t>2</w:t>
                      </w:r>
                    </w:p>
                  </w:txbxContent>
                </v:textbox>
              </v:shape>
            </w:pict>
          </mc:Fallback>
        </mc:AlternateContent>
      </w:r>
      <w:r w:rsidR="001115C3" w:rsidRPr="009A604E">
        <w:rPr>
          <w:sz w:val="22"/>
          <w:szCs w:val="22"/>
          <w:lang w:val="id-ID"/>
        </w:rPr>
        <w:t>The article is structured to first introduce the context and significance of the phenomenon under investigation, followed by a detailed explanation of the phenomenological methodology used. The data collection process, including semi-structured interviews with senior executives, will be described, followed by an explanation of how the data were analyzed using thematic analysis</w:t>
      </w:r>
      <w:r w:rsidR="004F717C" w:rsidRPr="009A604E">
        <w:rPr>
          <w:sz w:val="22"/>
          <w:szCs w:val="22"/>
          <w:lang w:val="id-ID"/>
        </w:rPr>
        <w:t xml:space="preserve"> </w:t>
      </w:r>
      <w:r w:rsidR="004F717C" w:rsidRPr="009A604E">
        <w:rPr>
          <w:sz w:val="22"/>
          <w:szCs w:val="22"/>
          <w:lang w:val="id-ID"/>
        </w:rPr>
        <w:fldChar w:fldCharType="begin"/>
      </w:r>
      <w:r w:rsidR="004F717C" w:rsidRPr="009A604E">
        <w:rPr>
          <w:sz w:val="22"/>
          <w:szCs w:val="22"/>
          <w:lang w:val="id-ID"/>
        </w:rPr>
        <w:instrText xml:space="preserve"> ADDIN ZOTERO_ITEM CSL_CITATION {"citationID":"k4qa4LJr","properties":{"formattedCitation":"(Hu dkk., 2021)","plainCitation":"(Hu dkk., 2021)","noteIndex":0},"citationItems":[{"id":19550,"uris":["http://zotero.org/users/11749608/items/UZJEN9AU"],"itemData":{"id":19550,"type":"article-journal","abstract":"In a highly intertwined and connected business environment, globalized layout planning can be an effective way for enterprises to expand their market. Nevertheless, conflicts and contradictions always exist between parent and subsidiary enterprises; if they are in different countries, these conflicts can become especially problematic. Internal control systems for subsidiary supervision and management seem to be particularly important when aiming to align subsidiaries’ decisions with parent enterprises’ strategic intentions, and such systems undoubtedly involve numerous criteria/dimensions. An effective tool is urgently needed to clarify the relevant issues and discern the cause-and-effect relationships among them in these conflicts. Traditional statistical approaches cannot fully explain these situations due to the complexity and invisibility of the criteria/dimensions; thus, the fuzzy rough set theory (FRST), with its superior data exploration ability and impreciseness tolerance, can be considered to adequately address the complexities. Motivated by efficient integrated systems, aggregating multiple dissimilar systems’ outputs and converting them into a consensus result can be useful for realizing outstanding performances. Based on this concept, we insert selected criteria/dimensions via FRST into DEMATEL to identify and analyze the dependency and feedback relations among variables of parent/subsidiary gaps and conflicts. The results present the improvement priorities based on their magnitude of impact, in the following order: organizational control structure, business and financial information system management, major financial management, business strategy management, construction of a management system, and integrated audit management. Managers can consider the potential implications herein when formulating future targeted policies to improve subsidiary supervision and strengthen overall corporate governance. © 2021, The Author(s).","archive":"Scopus","container-title":"Financial Innovation","DOI":"10.1186/s40854-020-00219-9","issue":"1","note":"publisher: Springer Science and Business Media Deutschland GmbH","title":"Identifying the key factors of subsidiary supervision and management using an innovative hybrid architecture in a big data environment","URL":"https://www.scopus.com/inward/record.uri?eid=2-s2.0-85100504009&amp;doi=10.1186%2fs40854-020-00219-9&amp;partnerID=40&amp;md5=64f3ec8a772fdc50da6f07fdd7dce522","volume":"7","author":[{"family":"Hu","given":"K.-H."},{"family":"Hsu","given":"M.-F."},{"family":"Chen","given":"F.-H."},{"family":"Liu","given":"M.-Z."}],"issued":{"date-parts":[["2021"]]}}}],"schema":"https://github.com/citation-style-language/schema/raw/master/csl-citation.json"} </w:instrText>
      </w:r>
      <w:r w:rsidR="004F717C" w:rsidRPr="009A604E">
        <w:rPr>
          <w:sz w:val="22"/>
          <w:szCs w:val="22"/>
          <w:lang w:val="id-ID"/>
        </w:rPr>
        <w:fldChar w:fldCharType="separate"/>
      </w:r>
      <w:r w:rsidR="004F717C" w:rsidRPr="009A604E">
        <w:rPr>
          <w:sz w:val="22"/>
        </w:rPr>
        <w:t>(Hu dkk., 2021)</w:t>
      </w:r>
      <w:r w:rsidR="004F717C" w:rsidRPr="009A604E">
        <w:rPr>
          <w:sz w:val="22"/>
          <w:szCs w:val="22"/>
          <w:lang w:val="id-ID"/>
        </w:rPr>
        <w:fldChar w:fldCharType="end"/>
      </w:r>
      <w:r w:rsidR="001115C3" w:rsidRPr="009A604E">
        <w:rPr>
          <w:sz w:val="22"/>
          <w:szCs w:val="22"/>
          <w:lang w:val="id-ID"/>
        </w:rPr>
        <w:t xml:space="preserve">. The findings will be discussed in terms of their implications for corporate governance theory and practice, particularly with regard to the integration of sustainability into governance </w:t>
      </w:r>
      <w:r w:rsidR="001115C3" w:rsidRPr="009A604E">
        <w:rPr>
          <w:sz w:val="22"/>
          <w:szCs w:val="22"/>
          <w:lang w:val="id-ID"/>
        </w:rPr>
        <w:lastRenderedPageBreak/>
        <w:t>frameworks. Finally, the conclusion will summarize the key insights and suggest avenues for future research to further explore the subjective aspects of corporate governance.</w:t>
      </w:r>
    </w:p>
    <w:p w14:paraId="4AA27FB0" w14:textId="77777777" w:rsidR="00A86DC6" w:rsidRPr="009A604E" w:rsidRDefault="00A86DC6" w:rsidP="00A86DC6">
      <w:pPr>
        <w:spacing w:after="120"/>
        <w:ind w:firstLine="720"/>
        <w:rPr>
          <w:sz w:val="22"/>
          <w:szCs w:val="22"/>
          <w:lang w:val="id-ID"/>
        </w:rPr>
      </w:pPr>
    </w:p>
    <w:p w14:paraId="5B6A5A52" w14:textId="77777777" w:rsidR="006967B4" w:rsidRPr="009A604E" w:rsidRDefault="001115C3">
      <w:pPr>
        <w:spacing w:after="120"/>
        <w:rPr>
          <w:b/>
          <w:sz w:val="22"/>
          <w:szCs w:val="22"/>
          <w:lang w:val="id-ID"/>
        </w:rPr>
      </w:pPr>
      <w:r w:rsidRPr="009A604E">
        <w:rPr>
          <w:b/>
          <w:sz w:val="22"/>
          <w:szCs w:val="22"/>
        </w:rPr>
        <w:t xml:space="preserve">RESEARCH METHODS </w:t>
      </w:r>
    </w:p>
    <w:p w14:paraId="1A17D5B5" w14:textId="77777777" w:rsidR="001115C3" w:rsidRPr="009A604E" w:rsidRDefault="001115C3" w:rsidP="001115C3">
      <w:pPr>
        <w:spacing w:after="120"/>
        <w:rPr>
          <w:b/>
          <w:sz w:val="22"/>
          <w:szCs w:val="22"/>
        </w:rPr>
      </w:pPr>
      <w:r w:rsidRPr="009A604E">
        <w:rPr>
          <w:b/>
          <w:sz w:val="22"/>
          <w:szCs w:val="22"/>
        </w:rPr>
        <w:t>Study Design</w:t>
      </w:r>
    </w:p>
    <w:p w14:paraId="1F6E3308" w14:textId="77777777" w:rsidR="001115C3" w:rsidRPr="009A604E" w:rsidRDefault="001115C3" w:rsidP="001115C3">
      <w:pPr>
        <w:spacing w:after="120"/>
        <w:ind w:firstLine="720"/>
        <w:rPr>
          <w:sz w:val="22"/>
          <w:szCs w:val="22"/>
          <w:lang w:val="id-ID"/>
        </w:rPr>
      </w:pPr>
      <w:r w:rsidRPr="009A604E">
        <w:rPr>
          <w:sz w:val="22"/>
          <w:szCs w:val="22"/>
        </w:rPr>
        <w:t>This study employed a phenomenological approach, which is particularly suited for exploring and understanding the lived experiences and subjective perceptions of participants regarding a specific phenomenon</w:t>
      </w:r>
      <w:r w:rsidR="004F717C" w:rsidRPr="009A604E">
        <w:rPr>
          <w:sz w:val="22"/>
          <w:szCs w:val="22"/>
          <w:lang w:val="id-ID"/>
        </w:rPr>
        <w:t xml:space="preserve"> </w:t>
      </w:r>
      <w:r w:rsidR="004F717C" w:rsidRPr="009A604E">
        <w:rPr>
          <w:sz w:val="22"/>
          <w:szCs w:val="22"/>
          <w:lang w:val="id-ID"/>
        </w:rPr>
        <w:fldChar w:fldCharType="begin"/>
      </w:r>
      <w:r w:rsidR="004F717C" w:rsidRPr="009A604E">
        <w:rPr>
          <w:sz w:val="22"/>
          <w:szCs w:val="22"/>
          <w:lang w:val="id-ID"/>
        </w:rPr>
        <w:instrText xml:space="preserve"> ADDIN ZOTERO_ITEM CSL_CITATION {"citationID":"iyNO5es5","properties":{"formattedCitation":"(Hu dkk., 2021)","plainCitation":"(Hu dkk., 2021)","noteIndex":0},"citationItems":[{"id":19550,"uris":["http://zotero.org/users/11749608/items/UZJEN9AU"],"itemData":{"id":19550,"type":"article-journal","abstract":"In a highly intertwined and connected business environment, globalized layout planning can be an effective way for enterprises to expand their market. Nevertheless, conflicts and contradictions always exist between parent and subsidiary enterprises; if they are in different countries, these conflicts can become especially problematic. Internal control systems for subsidiary supervision and management seem to be particularly important when aiming to align subsidiaries’ decisions with parent enterprises’ strategic intentions, and such systems undoubtedly involve numerous criteria/dimensions. An effective tool is urgently needed to clarify the relevant issues and discern the cause-and-effect relationships among them in these conflicts. Traditional statistical approaches cannot fully explain these situations due to the complexity and invisibility of the criteria/dimensions; thus, the fuzzy rough set theory (FRST), with its superior data exploration ability and impreciseness tolerance, can be considered to adequately address the complexities. Motivated by efficient integrated systems, aggregating multiple dissimilar systems’ outputs and converting them into a consensus result can be useful for realizing outstanding performances. Based on this concept, we insert selected criteria/dimensions via FRST into DEMATEL to identify and analyze the dependency and feedback relations among variables of parent/subsidiary gaps and conflicts. The results present the improvement priorities based on their magnitude of impact, in the following order: organizational control structure, business and financial information system management, major financial management, business strategy management, construction of a management system, and integrated audit management. Managers can consider the potential implications herein when formulating future targeted policies to improve subsidiary supervision and strengthen overall corporate governance. © 2021, The Author(s).","archive":"Scopus","container-title":"Financial Innovation","DOI":"10.1186/s40854-020-00219-9","issue":"1","note":"publisher: Springer Science and Business Media Deutschland GmbH","title":"Identifying the key factors of subsidiary supervision and management using an innovative hybrid architecture in a big data environment","URL":"https://www.scopus.com/inward/record.uri?eid=2-s2.0-85100504009&amp;doi=10.1186%2fs40854-020-00219-9&amp;partnerID=40&amp;md5=64f3ec8a772fdc50da6f07fdd7dce522","volume":"7","author":[{"family":"Hu","given":"K.-H."},{"family":"Hsu","given":"M.-F."},{"family":"Chen","given":"F.-H."},{"family":"Liu","given":"M.-Z."}],"issued":{"date-parts":[["2021"]]}}}],"schema":"https://github.com/citation-style-language/schema/raw/master/csl-citation.json"} </w:instrText>
      </w:r>
      <w:r w:rsidR="004F717C" w:rsidRPr="009A604E">
        <w:rPr>
          <w:sz w:val="22"/>
          <w:szCs w:val="22"/>
          <w:lang w:val="id-ID"/>
        </w:rPr>
        <w:fldChar w:fldCharType="separate"/>
      </w:r>
      <w:r w:rsidR="004F717C" w:rsidRPr="009A604E">
        <w:rPr>
          <w:sz w:val="22"/>
        </w:rPr>
        <w:t>(Hu dkk., 2021)</w:t>
      </w:r>
      <w:r w:rsidR="004F717C" w:rsidRPr="009A604E">
        <w:rPr>
          <w:sz w:val="22"/>
          <w:szCs w:val="22"/>
          <w:lang w:val="id-ID"/>
        </w:rPr>
        <w:fldChar w:fldCharType="end"/>
      </w:r>
      <w:r w:rsidRPr="009A604E">
        <w:rPr>
          <w:sz w:val="22"/>
          <w:szCs w:val="22"/>
        </w:rPr>
        <w:t>. Phenomenology focuses on uncovering the meaning that individuals attribute to their experiences, allowing for a deep exploration of the essence of these lived experiences. This approach was chosen due to its emphasis on understanding how individuals interpret and make sense of their interactions with corporate governance practices in a multinational business context. By focusing on the subjective experiences of senior executives, the design enables an in-depth exploration of the challenges, practices, and perceptions surrounding the implementation of sustainable corporate governance.</w:t>
      </w:r>
    </w:p>
    <w:p w14:paraId="61A88F2C" w14:textId="33B574E0" w:rsidR="001115C3" w:rsidRPr="009A604E" w:rsidRDefault="001115C3" w:rsidP="001115C3">
      <w:pPr>
        <w:spacing w:after="120"/>
        <w:ind w:firstLine="720"/>
        <w:rPr>
          <w:sz w:val="22"/>
          <w:szCs w:val="22"/>
        </w:rPr>
      </w:pPr>
      <w:r w:rsidRPr="009A604E">
        <w:rPr>
          <w:sz w:val="22"/>
          <w:szCs w:val="22"/>
        </w:rPr>
        <w:t xml:space="preserve">The study adopted an interpretative phenomenological approach, as it facilitates the examination of how participants make sense of their experiences in relation to a specific phenomenon, taking into account both personal and contextual factors. </w:t>
      </w:r>
      <w:r w:rsidR="00D075A1" w:rsidRPr="009A604E">
        <w:rPr>
          <w:sz w:val="22"/>
          <w:szCs w:val="22"/>
        </w:rPr>
        <w:t xml:space="preserve">IPA is particularly well-suited for this study because it combines a focus on individual meaning-making with </w:t>
      </w:r>
      <w:proofErr w:type="gramStart"/>
      <w:r w:rsidR="00D075A1" w:rsidRPr="009A604E">
        <w:rPr>
          <w:sz w:val="22"/>
          <w:szCs w:val="22"/>
        </w:rPr>
        <w:t>a recognition</w:t>
      </w:r>
      <w:proofErr w:type="gramEnd"/>
      <w:r w:rsidR="00D075A1" w:rsidRPr="009A604E">
        <w:rPr>
          <w:sz w:val="22"/>
          <w:szCs w:val="22"/>
        </w:rPr>
        <w:t xml:space="preserve"> of the broader social and organizational contexts in which these experiences occur. This alignment makes IPA ideal for understanding the nuanced and dynamic nature of corporate governance practices in multinational settings, where cultural and operational complexities play a significant role.</w:t>
      </w:r>
    </w:p>
    <w:p w14:paraId="1A897FF3" w14:textId="77777777" w:rsidR="001115C3" w:rsidRPr="009A604E" w:rsidRDefault="001115C3" w:rsidP="001115C3">
      <w:pPr>
        <w:spacing w:after="120"/>
        <w:rPr>
          <w:b/>
          <w:sz w:val="22"/>
          <w:szCs w:val="22"/>
        </w:rPr>
      </w:pPr>
      <w:r w:rsidRPr="009A604E">
        <w:rPr>
          <w:b/>
          <w:sz w:val="22"/>
          <w:szCs w:val="22"/>
        </w:rPr>
        <w:t>Participants</w:t>
      </w:r>
    </w:p>
    <w:p w14:paraId="27FE5583" w14:textId="0EB5E7ED" w:rsidR="001115C3" w:rsidRPr="009A604E" w:rsidRDefault="001115C3" w:rsidP="001115C3">
      <w:pPr>
        <w:spacing w:after="120"/>
        <w:ind w:firstLine="720"/>
        <w:rPr>
          <w:sz w:val="22"/>
          <w:szCs w:val="22"/>
          <w:lang w:val="id-ID"/>
        </w:rPr>
      </w:pPr>
      <w:r w:rsidRPr="009A604E">
        <w:rPr>
          <w:sz w:val="22"/>
          <w:szCs w:val="22"/>
        </w:rPr>
        <w:t>Participants in this study included 10 senior executives from multinational corporations that have implemented sustainable corporate governance practices</w:t>
      </w:r>
      <w:r w:rsidR="004F717C" w:rsidRPr="009A604E">
        <w:rPr>
          <w:sz w:val="22"/>
          <w:szCs w:val="22"/>
          <w:lang w:val="id-ID"/>
        </w:rPr>
        <w:t xml:space="preserve"> </w:t>
      </w:r>
      <w:r w:rsidR="004F717C" w:rsidRPr="009A604E">
        <w:rPr>
          <w:sz w:val="22"/>
          <w:szCs w:val="22"/>
          <w:lang w:val="id-ID"/>
        </w:rPr>
        <w:fldChar w:fldCharType="begin"/>
      </w:r>
      <w:r w:rsidR="004F717C" w:rsidRPr="009A604E">
        <w:rPr>
          <w:sz w:val="22"/>
          <w:szCs w:val="22"/>
          <w:lang w:val="id-ID"/>
        </w:rPr>
        <w:instrText xml:space="preserve"> ADDIN ZOTERO_ITEM CSL_CITATION {"citationID":"6nhA2eKe","properties":{"formattedCitation":"(Nguyen &amp; Zhao, 2021)","plainCitation":"(Nguyen &amp; Zhao, 2021)","noteIndex":0},"citationItems":[{"id":19576,"uris":["http://zotero.org/users/11749608/items/2RJYUA3L"],"itemData":{"id":19576,"type":"article-journal","abstract":"Our paper examines the relationship between industry tournament incentives for CEOs and corporate innovation. We find that the external pay gap is positively associated with subsequent innovation output and its economic value. Our results are robust to using different industry classifications, alternative measures of industry tournament incentives and innovation, and various controls for corporate governance, business strategy, and CEO attributes. We employ a quasi-natural experiment and an instrumental-variable approach to mitigate endogeneity concerns. We also find evidence of a positive and significant relationship between industry tournament incentives and idiosyncratic risk. Overall, the evidence is consistent with our contention that aspirant CEOs undertake innovation projects which can generate uncertain but potentially rewarding outcomes that increase the likelihood of the aspirant standing out and winning the tournament or extracting the tournament-induced benefits internally. © 2021 John Wiley &amp; Sons Ltd","archive":"Scopus","container-title":"Journal of Business Finance and Accounting","DOI":"10.1111/jbfa.12549","issue":"9-10","note":"publisher: John Wiley and Sons Inc","page":"1797-1845","title":"Industry tournament incentives and corporate innovation","volume":"48","author":[{"family":"Nguyen","given":"T."},{"family":"Zhao","given":"J."}],"issued":{"date-parts":[["2021"]]}}}],"schema":"https://github.com/citation-style-language/schema/raw/master/csl-citation.json"} </w:instrText>
      </w:r>
      <w:r w:rsidR="004F717C" w:rsidRPr="009A604E">
        <w:rPr>
          <w:sz w:val="22"/>
          <w:szCs w:val="22"/>
          <w:lang w:val="id-ID"/>
        </w:rPr>
        <w:fldChar w:fldCharType="separate"/>
      </w:r>
      <w:r w:rsidR="004F717C" w:rsidRPr="009A604E">
        <w:rPr>
          <w:sz w:val="22"/>
        </w:rPr>
        <w:t>(Nguyen &amp; Zhao, 2021)</w:t>
      </w:r>
      <w:r w:rsidR="004F717C" w:rsidRPr="009A604E">
        <w:rPr>
          <w:sz w:val="22"/>
          <w:szCs w:val="22"/>
          <w:lang w:val="id-ID"/>
        </w:rPr>
        <w:fldChar w:fldCharType="end"/>
      </w:r>
      <w:r w:rsidRPr="009A604E">
        <w:rPr>
          <w:sz w:val="22"/>
          <w:szCs w:val="22"/>
        </w:rPr>
        <w:t>. The selection of participants was based on purposive sampling, ensuring that those involved had direct experience with decision-making in corporate governance and a comprehensive understanding of its implementation. All participants held managerial roles within their respective organizations, with each having a minimum of five years of experience in multinational settings. This experience was critical for providing valuable insights into the strategic alignment of business goals with governance principles.</w:t>
      </w:r>
      <w:r w:rsidR="00D075A1" w:rsidRPr="009A604E">
        <w:t xml:space="preserve"> </w:t>
      </w:r>
      <w:r w:rsidR="00D075A1" w:rsidRPr="009A604E">
        <w:rPr>
          <w:sz w:val="22"/>
          <w:szCs w:val="22"/>
        </w:rPr>
        <w:t>The sample size of 10 participants was deemed sufficient to achieve data saturation, as is commonly accepted in phenomenological research. Saturation was reached when no new themes or significant insights emerged from the data, indicating that the depth and breadth of participant experiences had been adequately captured. This is consistent with prior studies employing IPA, where small but information-rich samples allow for a detailed and nuanced understanding of individual experiences (Smith et al., 2009).</w:t>
      </w:r>
    </w:p>
    <w:p w14:paraId="632339F6" w14:textId="77777777" w:rsidR="001115C3" w:rsidRPr="009A604E" w:rsidRDefault="001115C3" w:rsidP="001115C3">
      <w:pPr>
        <w:spacing w:after="120"/>
        <w:ind w:firstLine="720"/>
        <w:rPr>
          <w:sz w:val="22"/>
          <w:szCs w:val="22"/>
        </w:rPr>
      </w:pPr>
      <w:r w:rsidRPr="009A604E">
        <w:rPr>
          <w:sz w:val="22"/>
          <w:szCs w:val="22"/>
        </w:rPr>
        <w:t>Demographically, the sample consisted of both male and female executives, with an average age of 48 years</w:t>
      </w:r>
      <w:r w:rsidR="004F717C" w:rsidRPr="009A604E">
        <w:rPr>
          <w:sz w:val="22"/>
          <w:szCs w:val="22"/>
          <w:lang w:val="id-ID"/>
        </w:rPr>
        <w:t xml:space="preserve"> </w:t>
      </w:r>
      <w:r w:rsidR="004F717C" w:rsidRPr="009A604E">
        <w:rPr>
          <w:sz w:val="22"/>
          <w:szCs w:val="22"/>
          <w:lang w:val="id-ID"/>
        </w:rPr>
        <w:fldChar w:fldCharType="begin"/>
      </w:r>
      <w:r w:rsidR="004F717C" w:rsidRPr="009A604E">
        <w:rPr>
          <w:sz w:val="22"/>
          <w:szCs w:val="22"/>
          <w:lang w:val="id-ID"/>
        </w:rPr>
        <w:instrText xml:space="preserve"> ADDIN ZOTERO_ITEM CSL_CITATION {"citationID":"ykah6051","properties":{"formattedCitation":"(Bhatti dkk., 2020)","plainCitation":"(Bhatti dkk., 2020)","noteIndex":0},"citationItems":[{"id":19586,"uris":["http://zotero.org/users/11749608/items/DTHBDSRD"],"itemData":{"id":19586,"type":"article-journal","abstract":"Objective: Our purpose was to determine the mediating role of organizational capabilities between organizational culture, entrepreneurial orientation, and organizational performance of small and medium-sized enterprises (SMEs) in Pakistan. Research Design &amp; Methods: A total of 384 questionnaires were used for analysis using SmartPLS 3.0. Partial least square structural equation modelling was used for hypothe-ses testing. The area cluster sampling technique was used for data collection. Findings: Organizational culture and entrepreneurial orientation are positively associ-ated with organizational capabilities that lead to organizational performance. Organizational capabilities significantly mediate between organizational culture, entrepreneurial orientation, and organizational performance. Implications &amp; Recommendations: Future researchers can use business strategy, market orientation, leadership, and knowledge management to determine organizational performance. Corporate governance and market orientation can use the mediating or moderating effect between entrepreneurial orientation, organizational culture, knowledge management, and organizational performance. Contribution &amp; Value Added: We used organizational capabilities with entrepreneurial orientation and organizational culture to measure organizational performance using resource-based view (RVB). © 2020, Cracow University of Economics. All rights reserved.","archive":"Scopus","container-title":"Entrepreneurial Business and Economics Review","DOI":"10.15678/EBER.2020.080405","issue":"4","note":"publisher: Cracow University of Economics","page":"85-103","title":"Organizational capabilities mediates between organizational culture, entrepreneurial orientation, and organizational performance of smes in pakistan","volume":"8","author":[{"family":"Bhatti","given":"A."},{"family":"Rehman","given":"S.U."},{"family":"Rumman","given":"J.B.A."}],"issued":{"date-parts":[["2020"]]}}}],"schema":"https://github.com/citation-style-language/schema/raw/master/csl-citation.json"} </w:instrText>
      </w:r>
      <w:r w:rsidR="004F717C" w:rsidRPr="009A604E">
        <w:rPr>
          <w:sz w:val="22"/>
          <w:szCs w:val="22"/>
          <w:lang w:val="id-ID"/>
        </w:rPr>
        <w:fldChar w:fldCharType="separate"/>
      </w:r>
      <w:r w:rsidR="004F717C" w:rsidRPr="009A604E">
        <w:rPr>
          <w:sz w:val="22"/>
        </w:rPr>
        <w:t>(Bhatti dkk., 2020)</w:t>
      </w:r>
      <w:r w:rsidR="004F717C" w:rsidRPr="009A604E">
        <w:rPr>
          <w:sz w:val="22"/>
          <w:szCs w:val="22"/>
          <w:lang w:val="id-ID"/>
        </w:rPr>
        <w:fldChar w:fldCharType="end"/>
      </w:r>
      <w:r w:rsidRPr="009A604E">
        <w:rPr>
          <w:sz w:val="22"/>
          <w:szCs w:val="22"/>
        </w:rPr>
        <w:t>. Participants represented a variety of industries, including finance, technology, and manufacturing, offering a diverse range of perspectives on the challenges and practices of sustainable corporate governance.</w:t>
      </w:r>
    </w:p>
    <w:p w14:paraId="5973751F" w14:textId="77777777" w:rsidR="001115C3" w:rsidRPr="009A604E" w:rsidRDefault="001115C3" w:rsidP="001115C3">
      <w:pPr>
        <w:spacing w:after="120"/>
        <w:rPr>
          <w:b/>
          <w:sz w:val="22"/>
          <w:szCs w:val="22"/>
        </w:rPr>
      </w:pPr>
      <w:r w:rsidRPr="009A604E">
        <w:rPr>
          <w:b/>
          <w:sz w:val="22"/>
          <w:szCs w:val="22"/>
        </w:rPr>
        <w:t>Data Collection</w:t>
      </w:r>
    </w:p>
    <w:p w14:paraId="3D610F89" w14:textId="77777777" w:rsidR="001115C3" w:rsidRPr="009A604E" w:rsidRDefault="001115C3" w:rsidP="001115C3">
      <w:pPr>
        <w:spacing w:after="120"/>
        <w:ind w:firstLine="720"/>
        <w:rPr>
          <w:sz w:val="22"/>
          <w:szCs w:val="22"/>
          <w:lang w:val="id-ID"/>
        </w:rPr>
      </w:pPr>
      <w:r w:rsidRPr="009A604E">
        <w:rPr>
          <w:sz w:val="22"/>
          <w:szCs w:val="22"/>
        </w:rPr>
        <w:t>Data were collected through in-depth semi-structured interviews, which allowed for flexibility in exploring participants' experiences while maintaining a consistent focus on the research questions</w:t>
      </w:r>
      <w:r w:rsidR="004F717C" w:rsidRPr="009A604E">
        <w:rPr>
          <w:sz w:val="22"/>
          <w:szCs w:val="22"/>
          <w:lang w:val="id-ID"/>
        </w:rPr>
        <w:t xml:space="preserve"> </w:t>
      </w:r>
      <w:r w:rsidR="004F717C" w:rsidRPr="009A604E">
        <w:rPr>
          <w:sz w:val="22"/>
          <w:szCs w:val="22"/>
          <w:lang w:val="id-ID"/>
        </w:rPr>
        <w:fldChar w:fldCharType="begin"/>
      </w:r>
      <w:r w:rsidR="004F717C" w:rsidRPr="009A604E">
        <w:rPr>
          <w:sz w:val="22"/>
          <w:szCs w:val="22"/>
          <w:lang w:val="id-ID"/>
        </w:rPr>
        <w:instrText xml:space="preserve"> ADDIN ZOTERO_ITEM CSL_CITATION {"citationID":"V4FcFJsg","properties":{"formattedCitation":"(Alkaraan dkk., 2024)","plainCitation":"(Alkaraan dkk., 2024)","noteIndex":0},"citationItems":[{"id":19574,"uris":["http://zotero.org/users/11749608/items/Q4KKPZL3"],"itemData":{"id":19574,"type":"article-journal","abstract":"The study explores the influence of contextual factors surrounding production planning and green strategic investment decision-making practices (GSIDMP) in UK companies. We utilize a mixed-method approach as a research methodology to study the current trend of production planning and GSIDMP. This study's conceptual model is rooted conspicuously in the resource-based theory (RBT), natural-resource-based view, and dynamic capabilities. We empirically examine the nexus among GSIDMP, technological innovation, dynamic capability, and companies' performance. Our study was based on a sample selected from UK-listed companies, FTSE ALL-Share Index for the period (2012–2021). Also, the study utilizes data from the UK Innovation Survey (2018–2020) and corporate disclosure through companies' annual reports as a complementary approach for data collection. Findings of this study explore the interdependencies among company dynamic capability, advanced technological innovation and governance mechanisms, and their mediation influence on the nexus between GSIDMP and companies' performance. This study sheds lights on current business innovation strategies. Findings reveal how current practices of production planning and GSIDM in large UK companies shaped by boardrooms absorptive and adaptive capabilities, knowledge-generating and knowledge-collaboration capabilities, technological adoption, and corporate governance mechanisms. This study offers insight regarding boardrooms proactive engagement in exploration and exploitation activities to strengthen ambidexterity through various innovation trajectories associated with green production and GSIDMP towards sustainability. We provide managerial implications for decision-makers, regulators, investors, scholars, and other stakeholders. © 2024 The Authors. Business Strategy and The Environment published by ERP Environment and John Wiley &amp; Sons Ltd.","archive":"Scopus","container-title":"Business Strategy and the Environment","DOI":"10.1002/bse.3665","issue":"4","note":"publisher: John Wiley and Sons Ltd","page":"3588-3606","title":"Reinforcing green business strategies with Industry 4.0 and governance towards sustainability: Natural-resource-based view and dynamic capability","volume":"33","author":[{"family":"Alkaraan","given":"F."},{"family":"Elmarzouky","given":"M."},{"family":"Hussainey","given":"K."},{"family":"Venkatesh","given":"V.G."},{"family":"Shi","given":"Y."},{"family":"Gulko","given":"N."}],"issued":{"date-parts":[["2024"]]}}}],"schema":"https://github.com/citation-style-language/schema/raw/master/csl-citation.json"} </w:instrText>
      </w:r>
      <w:r w:rsidR="004F717C" w:rsidRPr="009A604E">
        <w:rPr>
          <w:sz w:val="22"/>
          <w:szCs w:val="22"/>
          <w:lang w:val="id-ID"/>
        </w:rPr>
        <w:fldChar w:fldCharType="separate"/>
      </w:r>
      <w:r w:rsidR="004F717C" w:rsidRPr="009A604E">
        <w:rPr>
          <w:sz w:val="22"/>
        </w:rPr>
        <w:t>(Alkaraan dkk., 2024)</w:t>
      </w:r>
      <w:r w:rsidR="004F717C" w:rsidRPr="009A604E">
        <w:rPr>
          <w:sz w:val="22"/>
          <w:szCs w:val="22"/>
          <w:lang w:val="id-ID"/>
        </w:rPr>
        <w:fldChar w:fldCharType="end"/>
      </w:r>
      <w:r w:rsidRPr="009A604E">
        <w:rPr>
          <w:sz w:val="22"/>
          <w:szCs w:val="22"/>
        </w:rPr>
        <w:t>. Each interview lasted between 45 to 90 minutes and was conducted face-to-face at the participants' offices or another mutually agreed-upon location, ensuring a comfortable and confidential setting. The interviews were designed to allow participants to freely express their views on the implementation of corporate governance principles and the challenges they faced, while also exploring how these practices have influenced their companies' strategies and long-term outcomes.</w:t>
      </w:r>
    </w:p>
    <w:p w14:paraId="4F9DDC7A" w14:textId="54F77C8C" w:rsidR="001115C3" w:rsidRPr="009A604E" w:rsidRDefault="00827A67" w:rsidP="001115C3">
      <w:pPr>
        <w:spacing w:after="120"/>
        <w:ind w:firstLine="720"/>
        <w:rPr>
          <w:sz w:val="22"/>
          <w:szCs w:val="22"/>
        </w:rPr>
      </w:pPr>
      <w:r>
        <w:rPr>
          <w:noProof/>
          <w:lang w:val="id-ID"/>
        </w:rPr>
        <mc:AlternateContent>
          <mc:Choice Requires="wps">
            <w:drawing>
              <wp:anchor distT="0" distB="0" distL="114300" distR="114300" simplePos="0" relativeHeight="251653632" behindDoc="0" locked="0" layoutInCell="1" allowOverlap="1" wp14:anchorId="3571E306" wp14:editId="2C9334AE">
                <wp:simplePos x="0" y="0"/>
                <wp:positionH relativeFrom="column">
                  <wp:posOffset>5362575</wp:posOffset>
                </wp:positionH>
                <wp:positionV relativeFrom="paragraph">
                  <wp:posOffset>656590</wp:posOffset>
                </wp:positionV>
                <wp:extent cx="323850" cy="238125"/>
                <wp:effectExtent l="0" t="0" r="0" b="9525"/>
                <wp:wrapNone/>
                <wp:docPr id="1465194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38125"/>
                        </a:xfrm>
                        <a:prstGeom prst="rect">
                          <a:avLst/>
                        </a:prstGeom>
                        <a:solidFill>
                          <a:sysClr val="window" lastClr="FFFFFF"/>
                        </a:solidFill>
                        <a:ln w="6350">
                          <a:noFill/>
                        </a:ln>
                      </wps:spPr>
                      <wps:txbx>
                        <w:txbxContent>
                          <w:p w14:paraId="1042A035" w14:textId="36C083C2" w:rsidR="00827A67" w:rsidRPr="00C83E52" w:rsidRDefault="00827A67" w:rsidP="00827A67">
                            <w:pPr>
                              <w:jc w:val="center"/>
                              <w:rPr>
                                <w:sz w:val="20"/>
                                <w:szCs w:val="20"/>
                                <w:lang w:val="en-US"/>
                              </w:rPr>
                            </w:pPr>
                            <w:r w:rsidRPr="00C83E52">
                              <w:rPr>
                                <w:sz w:val="20"/>
                                <w:szCs w:val="20"/>
                                <w:lang w:val="en-US"/>
                              </w:rPr>
                              <w:t>1</w:t>
                            </w:r>
                            <w:r>
                              <w:rPr>
                                <w:sz w:val="20"/>
                                <w:szCs w:val="20"/>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571E306" id="_x0000_s1029" type="#_x0000_t202" style="position:absolute;left:0;text-align:left;margin-left:422.25pt;margin-top:51.7pt;width:25.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nHQQIAAIQEAAAOAAAAZHJzL2Uyb0RvYy54bWysVEtv2zAMvg/YfxB0X51n1xlxiixFhgFB&#10;WyAdelZkKRYmi5qkxM5+/SjZeazbaVgOCilSJL+PpGf3ba3JQTivwBR0eDOgRBgOpTK7gn57WX24&#10;o8QHZkqmwYiCHoWn9/P372aNzcUIKtClcASDGJ83tqBVCDbPMs8rUTN/A1YYNEpwNQuoul1WOtZg&#10;9Fpno8HgNmvAldYBF97j7UNnpPMUX0rBw5OUXgSiC4q1hXS6dG7jmc1nLN85ZivF+zLYP1RRM2Uw&#10;6TnUAwuM7J36I1StuAMPMtxwqDOQUnGRMCCa4eANmk3FrEhYkBxvzzT5/xeWPx429tmR0H6GFhuY&#10;QHi7Bv7dIzdZY33e+0ROfe7ROwJtpavjP0Ig+BC5PZ75FG0gHC/Ho/HdFC0cTSgOR9PId3Z5bJ0P&#10;XwTUJAoFddiuVAA7rH3oXE8uMZcHrcqV0jopR7/UjhwYdhYHooSGEs18wMuCrtKvz/bbM21IU9Db&#10;MdYVoxiI8bpU2vSAO4wRbWi3LVElQomx4s0WyiPy5aAbJW/5SmHxa8z8zBzODuLFfQhPeEgNmAt6&#10;iZIK3M+/3Ud/bClaKWlwFgvqf+yZEwjoq8FmfxpOJnF4kzKZfhyh4q4t22uL2ddLQFKGuHmWJzH6&#10;B30SpYP6FddmEbOiiRmOuQsaTuIydBuCa8fFYpGccFwtC2uzsfw0JrE1L+0rc7bvX8DGP8Jpaln+&#10;po2db8f6Yh9AqtTjC6s9/TjqaUr6tYy7dK0nr8vHY/4LAAD//wMAUEsDBBQABgAIAAAAIQArZKt0&#10;4gAAAAsBAAAPAAAAZHJzL2Rvd25yZXYueG1sTI/BTsMwEETvSPyDtUjcqA2kKA1xKoRAUImoNEXi&#10;6sZLEojtyHab0K9nOcFxZ55mZ/LlZHp2QB86ZyVczgQwtLXTnW0kvG0fL1JgISqrVe8sSvjGAMvi&#10;9CRXmXaj3eChig2jEBsyJaGNccg4D3WLRoWZG9CS9+G8UZFO33Dt1UjhpudXQtxwozpLH1o14H2L&#10;9Ve1NxLex+rJr1erz9fhuTyuj1X5gg+llOdn090tsIhT/IPhtz5Vh4I67dze6sB6CWmSzAklQ1wn&#10;wIhIF3NSdqQkYgG8yPn/DcUPAAAA//8DAFBLAQItABQABgAIAAAAIQC2gziS/gAAAOEBAAATAAAA&#10;AAAAAAAAAAAAAAAAAABbQ29udGVudF9UeXBlc10ueG1sUEsBAi0AFAAGAAgAAAAhADj9If/WAAAA&#10;lAEAAAsAAAAAAAAAAAAAAAAALwEAAF9yZWxzLy5yZWxzUEsBAi0AFAAGAAgAAAAhALC5GcdBAgAA&#10;hAQAAA4AAAAAAAAAAAAAAAAALgIAAGRycy9lMm9Eb2MueG1sUEsBAi0AFAAGAAgAAAAhACtkq3Ti&#10;AAAACwEAAA8AAAAAAAAAAAAAAAAAmwQAAGRycy9kb3ducmV2LnhtbFBLBQYAAAAABAAEAPMAAACq&#10;BQAAAAA=&#10;" fillcolor="window" stroked="f" strokeweight=".5pt">
                <v:textbox>
                  <w:txbxContent>
                    <w:p w14:paraId="1042A035" w14:textId="36C083C2" w:rsidR="00827A67" w:rsidRPr="00C83E52" w:rsidRDefault="00827A67" w:rsidP="00827A67">
                      <w:pPr>
                        <w:jc w:val="center"/>
                        <w:rPr>
                          <w:sz w:val="20"/>
                          <w:szCs w:val="20"/>
                          <w:lang w:val="en-US"/>
                        </w:rPr>
                      </w:pPr>
                      <w:r w:rsidRPr="00C83E52">
                        <w:rPr>
                          <w:sz w:val="20"/>
                          <w:szCs w:val="20"/>
                          <w:lang w:val="en-US"/>
                        </w:rPr>
                        <w:t>1</w:t>
                      </w:r>
                      <w:r>
                        <w:rPr>
                          <w:sz w:val="20"/>
                          <w:szCs w:val="20"/>
                          <w:lang w:val="en-US"/>
                        </w:rPr>
                        <w:t>3</w:t>
                      </w:r>
                    </w:p>
                  </w:txbxContent>
                </v:textbox>
              </v:shape>
            </w:pict>
          </mc:Fallback>
        </mc:AlternateContent>
      </w:r>
      <w:r w:rsidR="001115C3" w:rsidRPr="009A604E">
        <w:rPr>
          <w:sz w:val="22"/>
          <w:szCs w:val="22"/>
        </w:rPr>
        <w:t xml:space="preserve">The interview guide consisted of open-ended questions aimed at uncovering themes related to corporate governance practices, the role of stakeholders, and the integration of sustainability into </w:t>
      </w:r>
      <w:r w:rsidR="001115C3" w:rsidRPr="009A604E">
        <w:rPr>
          <w:sz w:val="22"/>
          <w:szCs w:val="22"/>
        </w:rPr>
        <w:lastRenderedPageBreak/>
        <w:t>business strategies. All interviews were audio-recorded with participants' consent and transcribed verbatim for further analysis.</w:t>
      </w:r>
    </w:p>
    <w:p w14:paraId="762008C3" w14:textId="77777777" w:rsidR="001115C3" w:rsidRPr="009A604E" w:rsidRDefault="001115C3" w:rsidP="001115C3">
      <w:pPr>
        <w:spacing w:after="120"/>
        <w:rPr>
          <w:b/>
          <w:sz w:val="22"/>
          <w:szCs w:val="22"/>
        </w:rPr>
      </w:pPr>
      <w:r w:rsidRPr="009A604E">
        <w:rPr>
          <w:b/>
          <w:sz w:val="22"/>
          <w:szCs w:val="22"/>
        </w:rPr>
        <w:t>Data Analysis</w:t>
      </w:r>
    </w:p>
    <w:p w14:paraId="45FD15E1" w14:textId="6C702B90" w:rsidR="001115C3" w:rsidRPr="009A604E" w:rsidRDefault="001115C3" w:rsidP="001115C3">
      <w:pPr>
        <w:spacing w:after="120"/>
        <w:ind w:firstLine="720"/>
        <w:rPr>
          <w:sz w:val="22"/>
          <w:szCs w:val="22"/>
          <w:lang w:val="id-ID"/>
        </w:rPr>
      </w:pPr>
      <w:r w:rsidRPr="009A604E">
        <w:rPr>
          <w:sz w:val="22"/>
          <w:szCs w:val="22"/>
        </w:rPr>
        <w:t xml:space="preserve">The data were </w:t>
      </w:r>
      <w:proofErr w:type="spellStart"/>
      <w:r w:rsidRPr="009A604E">
        <w:rPr>
          <w:sz w:val="22"/>
          <w:szCs w:val="22"/>
        </w:rPr>
        <w:t>analyzed</w:t>
      </w:r>
      <w:proofErr w:type="spellEnd"/>
      <w:r w:rsidRPr="009A604E">
        <w:rPr>
          <w:sz w:val="22"/>
          <w:szCs w:val="22"/>
        </w:rPr>
        <w:t xml:space="preserve"> using thematic analysis, a widely used method in phenomenological research</w:t>
      </w:r>
      <w:r w:rsidR="004F717C" w:rsidRPr="009A604E">
        <w:rPr>
          <w:sz w:val="22"/>
          <w:szCs w:val="22"/>
          <w:lang w:val="id-ID"/>
        </w:rPr>
        <w:t xml:space="preserve"> </w:t>
      </w:r>
      <w:r w:rsidR="004F717C" w:rsidRPr="009A604E">
        <w:rPr>
          <w:sz w:val="22"/>
          <w:szCs w:val="22"/>
          <w:lang w:val="id-ID"/>
        </w:rPr>
        <w:fldChar w:fldCharType="begin"/>
      </w:r>
      <w:r w:rsidR="004F717C" w:rsidRPr="009A604E">
        <w:rPr>
          <w:sz w:val="22"/>
          <w:szCs w:val="22"/>
          <w:lang w:val="id-ID"/>
        </w:rPr>
        <w:instrText xml:space="preserve"> ADDIN ZOTERO_ITEM CSL_CITATION {"citationID":"zO7Ru2oN","properties":{"formattedCitation":"(Pasko dkk., 2022)","plainCitation":"(Pasko dkk., 2022)","noteIndex":0},"citationItems":[{"id":19560,"uris":["http://zotero.org/users/11749608/items/DJBT2HAB"],"itemData":{"id":19560,"type":"article-journal","abstract":"Sustainability reporting has become a practice of the majority and is decided by boards of directors as the supreme governing body in the decision-making process of companies. The paper provides a high-view picture and visualizes research to portray the historical shifts in sustainability reporting nexus to corporate governance through an analysis utilizing CiteSpace software on 935 articles published in Web of Science Core Collection from 2009 to 2021. The number of papers in the area has expanded, especially since 2013 (a branching point), while the study determines a type of bifurcation spot (the year 2017) that evinces the SR-CG field maturity. The study determined the dominant countries through affiliated to them researchers (the United Kingdom, Spain, Italy, China and Australia), the most esteemed journals (Journal of Business Ethics, Business Strategy and the Environment and Accounting, Auditing &amp; Accountability Journal), and the major co-occurrence of hot keywords (carbon disclosure project, environmental disclosure quality, integrated reporting, financial performance, foreign director, environmental reporting, public sector, sustainability assurance statement). The paper identifies principal issues where SR-CG research lags (dearth of those research in developing economies and geographical limitation of research) and unravels uncharted so far domains (jurisdictions-related studies) in the realm. Future research in the realm is likely to focus on ESG, disclosures and governance performance, as well as on specific areas (geography, industry, etc.), and will explore in depth the role of multiple factors together. This papers indicate the growing convergence between SR and CG in literature, and given predominance of ‘SR as a function of CG’ approach a more stalwart and sound CG framework could bring about more tenable SR practices. The paper puts forward an agenda for advancing forthcoming research in the realm of SR-CG interdependence. © Oleh Pasko, Fuli Chen, Tetyana Kuts, Inna Sharko, Natalia Ryzhikova, 2022.","archive":"Scopus","container-title":"Environmental Economics","DOI":"10.21511/ee.13(1).2022.06","issue":"1","note":"publisher: LLC CPC Business Perspectives","page":"61-78","title":"Sustainability reporting nexus to corporate governance in scholarly literature","volume":"13","author":[{"family":"Pasko","given":"O."},{"family":"Chen","given":"F."},{"family":"Kuts","given":"T."},{"family":"Sharko","given":"I."},{"family":"Ryzhikova","given":"N."}],"issued":{"date-parts":[["2022"]]}}}],"schema":"https://github.com/citation-style-language/schema/raw/master/csl-citation.json"} </w:instrText>
      </w:r>
      <w:r w:rsidR="004F717C" w:rsidRPr="009A604E">
        <w:rPr>
          <w:sz w:val="22"/>
          <w:szCs w:val="22"/>
          <w:lang w:val="id-ID"/>
        </w:rPr>
        <w:fldChar w:fldCharType="separate"/>
      </w:r>
      <w:r w:rsidR="004F717C" w:rsidRPr="009A604E">
        <w:rPr>
          <w:sz w:val="22"/>
        </w:rPr>
        <w:t>(Pasko dkk., 2022)</w:t>
      </w:r>
      <w:r w:rsidR="004F717C" w:rsidRPr="009A604E">
        <w:rPr>
          <w:sz w:val="22"/>
          <w:szCs w:val="22"/>
          <w:lang w:val="id-ID"/>
        </w:rPr>
        <w:fldChar w:fldCharType="end"/>
      </w:r>
      <w:r w:rsidRPr="009A604E">
        <w:rPr>
          <w:sz w:val="22"/>
          <w:szCs w:val="22"/>
        </w:rPr>
        <w:t xml:space="preserve">. This approach involves identifying, </w:t>
      </w:r>
      <w:proofErr w:type="spellStart"/>
      <w:r w:rsidRPr="009A604E">
        <w:rPr>
          <w:sz w:val="22"/>
          <w:szCs w:val="22"/>
        </w:rPr>
        <w:t>analyzing</w:t>
      </w:r>
      <w:proofErr w:type="spellEnd"/>
      <w:r w:rsidRPr="009A604E">
        <w:rPr>
          <w:sz w:val="22"/>
          <w:szCs w:val="22"/>
        </w:rPr>
        <w:t xml:space="preserve">, and reporting patterns or themes within the data. </w:t>
      </w:r>
      <w:r w:rsidR="00D44B90" w:rsidRPr="009A604E">
        <w:rPr>
          <w:sz w:val="22"/>
          <w:szCs w:val="22"/>
        </w:rPr>
        <w:t xml:space="preserve">IPA was specifically chosen as it allows for a detailed exploration of how individuals make sense of their experiences. By focusing on participants' interpretations, IPA not only identifies key themes but also contextualizes them within the broader organizational and cultural settings in which governance practices are </w:t>
      </w:r>
      <w:proofErr w:type="spellStart"/>
      <w:r w:rsidR="00D44B90" w:rsidRPr="009A604E">
        <w:rPr>
          <w:sz w:val="22"/>
          <w:szCs w:val="22"/>
        </w:rPr>
        <w:t>enacted.</w:t>
      </w:r>
      <w:r w:rsidRPr="009A604E">
        <w:rPr>
          <w:sz w:val="22"/>
          <w:szCs w:val="22"/>
        </w:rPr>
        <w:t>The</w:t>
      </w:r>
      <w:proofErr w:type="spellEnd"/>
      <w:r w:rsidRPr="009A604E">
        <w:rPr>
          <w:sz w:val="22"/>
          <w:szCs w:val="22"/>
        </w:rPr>
        <w:t xml:space="preserve"> analysis was conducted in several stages: first, the transcripts were read and re-read to immerse in the data. Then, initial codes were generated, followed by the identification of major themes related to the experiences of the participants in implementing sustainable corporate governance. These themes were refined and consolidated, with particular attention given to how participants’ lived experiences related to the research questions.</w:t>
      </w:r>
    </w:p>
    <w:p w14:paraId="193D2817" w14:textId="77777777" w:rsidR="001115C3" w:rsidRPr="009A604E" w:rsidRDefault="001115C3" w:rsidP="001115C3">
      <w:pPr>
        <w:spacing w:after="120"/>
        <w:ind w:firstLine="720"/>
        <w:rPr>
          <w:sz w:val="22"/>
          <w:szCs w:val="22"/>
        </w:rPr>
      </w:pPr>
      <w:proofErr w:type="spellStart"/>
      <w:r w:rsidRPr="009A604E">
        <w:rPr>
          <w:sz w:val="22"/>
          <w:szCs w:val="22"/>
        </w:rPr>
        <w:t>NVivo</w:t>
      </w:r>
      <w:proofErr w:type="spellEnd"/>
      <w:r w:rsidRPr="009A604E">
        <w:rPr>
          <w:sz w:val="22"/>
          <w:szCs w:val="22"/>
        </w:rPr>
        <w:t xml:space="preserve"> software was used to assist in organizing and coding the data, but the analysis was primarily conducted through a manual process of thematic categorization. This allowed for a deep and contextual understanding of the data, focusing on how the participants’ experiences and perceptions shaped their implementation of corporate governance practices.</w:t>
      </w:r>
    </w:p>
    <w:p w14:paraId="5A37BB8B" w14:textId="77777777" w:rsidR="001115C3" w:rsidRPr="009A604E" w:rsidRDefault="001115C3" w:rsidP="001115C3">
      <w:pPr>
        <w:spacing w:after="120"/>
        <w:rPr>
          <w:b/>
          <w:sz w:val="22"/>
          <w:szCs w:val="22"/>
        </w:rPr>
      </w:pPr>
      <w:r w:rsidRPr="009A604E">
        <w:rPr>
          <w:b/>
          <w:sz w:val="22"/>
          <w:szCs w:val="22"/>
        </w:rPr>
        <w:t>Ethics</w:t>
      </w:r>
    </w:p>
    <w:p w14:paraId="27229E63" w14:textId="77777777" w:rsidR="006967B4" w:rsidRPr="009A604E" w:rsidRDefault="001115C3" w:rsidP="001115C3">
      <w:pPr>
        <w:spacing w:after="120"/>
        <w:ind w:firstLine="720"/>
        <w:rPr>
          <w:sz w:val="22"/>
          <w:szCs w:val="22"/>
        </w:rPr>
      </w:pPr>
      <w:r w:rsidRPr="009A604E">
        <w:rPr>
          <w:sz w:val="22"/>
          <w:szCs w:val="22"/>
        </w:rPr>
        <w:t>Ethical approval for the study was obtained from the relevant research ethics committee. Informed consent was obtained from all participants, who were assured of their right to confidentiality and anonymity throughout the research process</w:t>
      </w:r>
      <w:r w:rsidR="004F717C" w:rsidRPr="009A604E">
        <w:rPr>
          <w:sz w:val="22"/>
          <w:szCs w:val="22"/>
          <w:lang w:val="id-ID"/>
        </w:rPr>
        <w:t xml:space="preserve"> </w:t>
      </w:r>
      <w:r w:rsidR="004F717C" w:rsidRPr="009A604E">
        <w:rPr>
          <w:sz w:val="22"/>
          <w:szCs w:val="22"/>
          <w:lang w:val="id-ID"/>
        </w:rPr>
        <w:fldChar w:fldCharType="begin"/>
      </w:r>
      <w:r w:rsidR="004F717C" w:rsidRPr="009A604E">
        <w:rPr>
          <w:sz w:val="22"/>
          <w:szCs w:val="22"/>
          <w:lang w:val="id-ID"/>
        </w:rPr>
        <w:instrText xml:space="preserve"> ADDIN ZOTERO_ITEM CSL_CITATION {"citationID":"JUEFNj5X","properties":{"formattedCitation":"(Tan dkk., 2022)","plainCitation":"(Tan dkk., 2022)","noteIndex":0},"citationItems":[{"id":19582,"uris":["http://zotero.org/users/11749608/items/B8KPEZVC"],"itemData":{"id":19582,"type":"article-journal","abstract":"This study investigates whether bond markets reflect firms' exposure to air pollution through an increased cost of debt financing; and, if so, whether firms can mitigate this air pollution penalty via effective governance and active monitoring. Using 1067 bonds issued by Chinese firms, we document a positive association between air pollution and the cost of debt financing, and this association is robust and economically meaningful. Specifically, with a one standard deviation increase in air pollution severity, a firm's bond yield spread increases approximately 16% relative to an average bond. Additional analysis suggests that credit risk and financial uncertainty are the transmission channels. Our results also confirm that strengthened corporate governance, active board and external monitoring, and a stabilized economic environment further enhance the impact of air pollution on a firm's cost of debt. Overall, air pollution has a material change in a firm's business strategy in using debt. © 2021 ERP Environment and John Wiley &amp; Sons Ltd.","archive":"Scopus","container-title":"Business Strategy and the Environment","DOI":"10.1002/bse.2904","issue":"1","note":"publisher: John Wiley and Sons Ltd","page":"464-482","title":"The impact of air pollution on the cost of debt financing: Evidence from the bond market","volume":"31","author":[{"family":"Tan","given":"J."},{"family":"Chan","given":"K.C."},{"family":"Chen","given":"Y."}],"issued":{"date-parts":[["2022"]]}}}],"schema":"https://github.com/citation-style-language/schema/raw/master/csl-citation.json"} </w:instrText>
      </w:r>
      <w:r w:rsidR="004F717C" w:rsidRPr="009A604E">
        <w:rPr>
          <w:sz w:val="22"/>
          <w:szCs w:val="22"/>
          <w:lang w:val="id-ID"/>
        </w:rPr>
        <w:fldChar w:fldCharType="separate"/>
      </w:r>
      <w:r w:rsidR="004F717C" w:rsidRPr="009A604E">
        <w:rPr>
          <w:sz w:val="22"/>
        </w:rPr>
        <w:t>(Tan dkk., 2022)</w:t>
      </w:r>
      <w:r w:rsidR="004F717C" w:rsidRPr="009A604E">
        <w:rPr>
          <w:sz w:val="22"/>
          <w:szCs w:val="22"/>
          <w:lang w:val="id-ID"/>
        </w:rPr>
        <w:fldChar w:fldCharType="end"/>
      </w:r>
      <w:r w:rsidRPr="009A604E">
        <w:rPr>
          <w:sz w:val="22"/>
          <w:szCs w:val="22"/>
        </w:rPr>
        <w:t xml:space="preserve">. Participants were informed of their voluntary participation and the option to withdraw at any time without consequence. All data collected were </w:t>
      </w:r>
      <w:proofErr w:type="spellStart"/>
      <w:r w:rsidRPr="009A604E">
        <w:rPr>
          <w:sz w:val="22"/>
          <w:szCs w:val="22"/>
        </w:rPr>
        <w:t>anonymized</w:t>
      </w:r>
      <w:proofErr w:type="spellEnd"/>
      <w:r w:rsidRPr="009A604E">
        <w:rPr>
          <w:sz w:val="22"/>
          <w:szCs w:val="22"/>
        </w:rPr>
        <w:t xml:space="preserve"> and stored securely to ensure participant privacy and to comply with data protection regulations. The research adhered to the ethical standards of the Declaration of Helsinki and other relevant ethical guidelines for conducting research involving human participants.</w:t>
      </w:r>
    </w:p>
    <w:p w14:paraId="7622FC1A" w14:textId="77777777" w:rsidR="006967B4" w:rsidRPr="009A604E" w:rsidRDefault="006967B4">
      <w:pPr>
        <w:rPr>
          <w:sz w:val="22"/>
          <w:szCs w:val="22"/>
        </w:rPr>
      </w:pPr>
    </w:p>
    <w:p w14:paraId="372E5DDE" w14:textId="77777777" w:rsidR="006967B4" w:rsidRPr="009A604E" w:rsidRDefault="001115C3">
      <w:pPr>
        <w:spacing w:after="120"/>
        <w:rPr>
          <w:b/>
          <w:sz w:val="22"/>
          <w:szCs w:val="22"/>
          <w:lang w:val="id-ID"/>
        </w:rPr>
      </w:pPr>
      <w:r w:rsidRPr="009A604E">
        <w:rPr>
          <w:b/>
          <w:sz w:val="22"/>
          <w:szCs w:val="22"/>
        </w:rPr>
        <w:t xml:space="preserve">RESULTS AND DISCUSSION </w:t>
      </w:r>
    </w:p>
    <w:p w14:paraId="08D3E132" w14:textId="77777777" w:rsidR="001115C3" w:rsidRPr="009A604E" w:rsidRDefault="001115C3" w:rsidP="001115C3">
      <w:pPr>
        <w:spacing w:after="120"/>
        <w:rPr>
          <w:b/>
          <w:sz w:val="22"/>
          <w:szCs w:val="22"/>
        </w:rPr>
      </w:pPr>
      <w:r w:rsidRPr="009A604E">
        <w:rPr>
          <w:b/>
          <w:sz w:val="22"/>
          <w:szCs w:val="22"/>
        </w:rPr>
        <w:t>Challenges in Implementing Sustainable Corporate Governance</w:t>
      </w:r>
    </w:p>
    <w:p w14:paraId="437302F2" w14:textId="77777777" w:rsidR="001115C3" w:rsidRPr="009A604E" w:rsidRDefault="001115C3" w:rsidP="001115C3">
      <w:pPr>
        <w:spacing w:after="120"/>
        <w:ind w:firstLine="720"/>
        <w:rPr>
          <w:sz w:val="22"/>
          <w:szCs w:val="22"/>
          <w:lang w:val="id-ID"/>
        </w:rPr>
      </w:pPr>
      <w:r w:rsidRPr="009A604E">
        <w:rPr>
          <w:sz w:val="22"/>
          <w:szCs w:val="22"/>
        </w:rPr>
        <w:t>A central theme in the data concerns the significant challenges faced by multinational companies in aligning their business strategies with sustainable corporate governance principles. Executives identified several barriers, including resistance from internal stakeholders, conflicts between local and international governance principles, and the difficulty in measuring the long-term impact of corporate governance on financial performance.</w:t>
      </w:r>
    </w:p>
    <w:p w14:paraId="2E44D834" w14:textId="77777777" w:rsidR="001115C3" w:rsidRPr="009A604E" w:rsidRDefault="001115C3" w:rsidP="001115C3">
      <w:pPr>
        <w:spacing w:after="120"/>
        <w:ind w:firstLine="720"/>
        <w:rPr>
          <w:sz w:val="22"/>
          <w:szCs w:val="22"/>
          <w:lang w:val="id-ID"/>
        </w:rPr>
      </w:pPr>
      <w:r w:rsidRPr="009A604E">
        <w:rPr>
          <w:sz w:val="22"/>
          <w:szCs w:val="22"/>
        </w:rPr>
        <w:t>One participant noted:</w:t>
      </w:r>
      <w:r w:rsidRPr="009A604E">
        <w:rPr>
          <w:sz w:val="22"/>
          <w:szCs w:val="22"/>
          <w:lang w:val="id-ID"/>
        </w:rPr>
        <w:t xml:space="preserve"> </w:t>
      </w:r>
      <w:r w:rsidRPr="009A604E">
        <w:rPr>
          <w:sz w:val="22"/>
          <w:szCs w:val="22"/>
        </w:rPr>
        <w:t>"Implementing good governance principles across all departments is not easy. We often face pushback from local stakeholders who may have different priorities. But in the long run, these principles help build stakeholder trust." (Executive 1)</w:t>
      </w:r>
    </w:p>
    <w:p w14:paraId="50D0EBC1" w14:textId="7B128119" w:rsidR="001115C3" w:rsidRDefault="001115C3" w:rsidP="001115C3">
      <w:pPr>
        <w:spacing w:after="120"/>
        <w:ind w:firstLine="720"/>
        <w:rPr>
          <w:sz w:val="22"/>
          <w:szCs w:val="22"/>
        </w:rPr>
      </w:pPr>
      <w:r w:rsidRPr="009A604E">
        <w:rPr>
          <w:sz w:val="22"/>
          <w:szCs w:val="22"/>
        </w:rPr>
        <w:t>This resistance is often exacerbated by the complexity of balancing the needs of global operations with local cultural and regulatory requirements</w:t>
      </w:r>
      <w:r w:rsidR="008026B4" w:rsidRPr="009A604E">
        <w:t xml:space="preserve"> </w:t>
      </w:r>
      <w:proofErr w:type="gramStart"/>
      <w:r w:rsidR="008026B4" w:rsidRPr="009A604E">
        <w:rPr>
          <w:sz w:val="22"/>
          <w:szCs w:val="22"/>
        </w:rPr>
        <w:t>These</w:t>
      </w:r>
      <w:proofErr w:type="gramEnd"/>
      <w:r w:rsidR="008026B4" w:rsidRPr="009A604E">
        <w:rPr>
          <w:sz w:val="22"/>
          <w:szCs w:val="22"/>
        </w:rPr>
        <w:t xml:space="preserve"> findings are consistent with previous studies highlighting the tensions between global standardization and local adaptation in corporate governance (</w:t>
      </w:r>
      <w:proofErr w:type="spellStart"/>
      <w:r w:rsidR="008026B4" w:rsidRPr="009A604E">
        <w:rPr>
          <w:sz w:val="22"/>
          <w:szCs w:val="22"/>
        </w:rPr>
        <w:t>Chevrollier</w:t>
      </w:r>
      <w:proofErr w:type="spellEnd"/>
      <w:r w:rsidR="008026B4" w:rsidRPr="009A604E">
        <w:rPr>
          <w:sz w:val="22"/>
          <w:szCs w:val="22"/>
        </w:rPr>
        <w:t xml:space="preserve"> et al., 2020). However, this study uniquely contributes by emphasizing the subjective experiences of senior executives in navigating these tensions, adding a personal dimension to the organizational challenges described in earlier </w:t>
      </w:r>
      <w:proofErr w:type="spellStart"/>
      <w:r w:rsidR="008026B4" w:rsidRPr="009A604E">
        <w:rPr>
          <w:sz w:val="22"/>
          <w:szCs w:val="22"/>
        </w:rPr>
        <w:t>works.</w:t>
      </w:r>
      <w:r w:rsidRPr="009A604E">
        <w:rPr>
          <w:sz w:val="22"/>
          <w:szCs w:val="22"/>
        </w:rPr>
        <w:t>Another</w:t>
      </w:r>
      <w:proofErr w:type="spellEnd"/>
      <w:r w:rsidRPr="009A604E">
        <w:rPr>
          <w:sz w:val="22"/>
          <w:szCs w:val="22"/>
        </w:rPr>
        <w:t xml:space="preserve"> executive shared:</w:t>
      </w:r>
      <w:r w:rsidRPr="009A604E">
        <w:rPr>
          <w:sz w:val="22"/>
          <w:szCs w:val="22"/>
          <w:lang w:val="id-ID"/>
        </w:rPr>
        <w:t xml:space="preserve"> </w:t>
      </w:r>
      <w:r w:rsidRPr="009A604E">
        <w:rPr>
          <w:sz w:val="22"/>
          <w:szCs w:val="22"/>
        </w:rPr>
        <w:t>"The challenge is not just about setting the right rules, but about ensuring they are accepted and followed across diverse regions with different expectations and regulatory environments." (Executive 3)</w:t>
      </w:r>
      <w:r w:rsidR="008026B4" w:rsidRPr="009A604E">
        <w:t xml:space="preserve"> </w:t>
      </w:r>
      <w:r w:rsidR="008026B4" w:rsidRPr="009A604E">
        <w:rPr>
          <w:sz w:val="22"/>
          <w:szCs w:val="22"/>
        </w:rPr>
        <w:t>This observation supports the work of Aguilera et al. (2015), who argue that cross-border governance requires nuanced understanding of local contexts. However, unlike prior research that focuses on structural or procedural aspects, the current study reveals how these challenges are experienced at the individual level, providing a more granular perspective.</w:t>
      </w:r>
    </w:p>
    <w:p w14:paraId="0E9DFC11" w14:textId="46986C95" w:rsidR="00827A67" w:rsidRPr="009A604E" w:rsidRDefault="00827A67" w:rsidP="001115C3">
      <w:pPr>
        <w:spacing w:after="120"/>
        <w:ind w:firstLine="720"/>
        <w:rPr>
          <w:sz w:val="22"/>
          <w:szCs w:val="22"/>
        </w:rPr>
      </w:pPr>
      <w:r>
        <w:rPr>
          <w:noProof/>
          <w:lang w:val="id-ID"/>
        </w:rPr>
        <mc:AlternateContent>
          <mc:Choice Requires="wps">
            <w:drawing>
              <wp:anchor distT="0" distB="0" distL="114300" distR="114300" simplePos="0" relativeHeight="251654656" behindDoc="0" locked="0" layoutInCell="1" allowOverlap="1" wp14:anchorId="608A6B64" wp14:editId="3AB2115A">
                <wp:simplePos x="0" y="0"/>
                <wp:positionH relativeFrom="column">
                  <wp:posOffset>5372100</wp:posOffset>
                </wp:positionH>
                <wp:positionV relativeFrom="paragraph">
                  <wp:posOffset>485140</wp:posOffset>
                </wp:positionV>
                <wp:extent cx="323850" cy="238125"/>
                <wp:effectExtent l="0" t="0" r="0" b="9525"/>
                <wp:wrapNone/>
                <wp:docPr id="1286915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38125"/>
                        </a:xfrm>
                        <a:prstGeom prst="rect">
                          <a:avLst/>
                        </a:prstGeom>
                        <a:solidFill>
                          <a:sysClr val="window" lastClr="FFFFFF"/>
                        </a:solidFill>
                        <a:ln w="6350">
                          <a:noFill/>
                        </a:ln>
                      </wps:spPr>
                      <wps:txbx>
                        <w:txbxContent>
                          <w:p w14:paraId="5DDBBEEA" w14:textId="14CDB33C" w:rsidR="00827A67" w:rsidRPr="00C83E52" w:rsidRDefault="00827A67" w:rsidP="00827A67">
                            <w:pPr>
                              <w:jc w:val="center"/>
                              <w:rPr>
                                <w:sz w:val="20"/>
                                <w:szCs w:val="20"/>
                                <w:lang w:val="en-US"/>
                              </w:rPr>
                            </w:pPr>
                            <w:r w:rsidRPr="00C83E52">
                              <w:rPr>
                                <w:sz w:val="20"/>
                                <w:szCs w:val="20"/>
                                <w:lang w:val="en-US"/>
                              </w:rPr>
                              <w:t>1</w:t>
                            </w:r>
                            <w:r>
                              <w:rPr>
                                <w:sz w:val="20"/>
                                <w:szCs w:val="20"/>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08A6B64" id="_x0000_s1030" type="#_x0000_t202" style="position:absolute;left:0;text-align:left;margin-left:423pt;margin-top:38.2pt;width:25.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SAQgIAAIQEAAAOAAAAZHJzL2Uyb0RvYy54bWysVEtv2zAMvg/YfxB0X51n1xlxiixFhgFB&#10;WyAdelZkKRYmi5qkxM5+/SjZeazbaVgOCilSJL+PpGf3ba3JQTivwBR0eDOgRBgOpTK7gn57WX24&#10;o8QHZkqmwYiCHoWn9/P372aNzcUIKtClcASDGJ83tqBVCDbPMs8rUTN/A1YYNEpwNQuoul1WOtZg&#10;9Fpno8HgNmvAldYBF97j7UNnpPMUX0rBw5OUXgSiC4q1hXS6dG7jmc1nLN85ZivF+zLYP1RRM2Uw&#10;6TnUAwuM7J36I1StuAMPMtxwqDOQUnGRMCCa4eANmk3FrEhYkBxvzzT5/xeWPx429tmR0H6GFhuY&#10;QHi7Bv7dIzdZY33e+0ROfe7ROwJtpavjP0Ig+BC5PZ75FG0gHC/Ho/HdFC0cTSgOR9PId3Z5bJ0P&#10;XwTUJAoFddiuVAA7rH3oXE8uMZcHrcqV0jopR7/UjhwYdhYHooSGEs18wMuCrtKvz/bbM21IU9Db&#10;MdYVoxiI8bpU2vSAO4wRbWi3LVFlQScxVrzZQnlEvhx0o+QtXyksfo2Zn5nD2UG8uA/hCQ+pAXNB&#10;L1FSgfv5t/vojy1FKyUNzmJB/Y89cwIBfTXY7E/DySQOb1Im048jVNy1ZXttMft6CUjKEDfP8iRG&#10;/6BPonRQv+LaLGJWNDHDMXdBw0lchm5DcO24WCySE46rZWFtNpafxiS25qV9Zc72/QvY+Ec4TS3L&#10;37Sx8+1YX+wDSJV6fGG1px9HPU1Jv5Zxl6715HX5eMx/AQAA//8DAFBLAwQUAAYACAAAACEAZBcq&#10;2+IAAAAKAQAADwAAAGRycy9kb3ducmV2LnhtbEyPwU7DMAyG70i8Q2QkbiwdTF1Xmk4IgWAS1aAg&#10;cc1a0xYap0qytezpMSc42v70+/uz9WR6cUDnO0sK5rMIBFJl644aBW+v9xcJCB801bq3hAq+0cM6&#10;Pz3JdFrbkV7wUIZGcAj5VCtoQxhSKX3VotF+Zgckvn1YZ3Tg0TWydnrkcNPLyyiKpdEd8YdWD3jb&#10;YvVV7o2C97F8cNvN5vN5eCyO22NZPOFdodT52XRzDSLgFP5g+NVndcjZaWf3VHvRK0gWMXcJCpbx&#10;AgQDyWrJix2T86sVyDyT/yvkPwAAAP//AwBQSwECLQAUAAYACAAAACEAtoM4kv4AAADhAQAAEwAA&#10;AAAAAAAAAAAAAAAAAAAAW0NvbnRlbnRfVHlwZXNdLnhtbFBLAQItABQABgAIAAAAIQA4/SH/1gAA&#10;AJQBAAALAAAAAAAAAAAAAAAAAC8BAABfcmVscy8ucmVsc1BLAQItABQABgAIAAAAIQAOrGSAQgIA&#10;AIQEAAAOAAAAAAAAAAAAAAAAAC4CAABkcnMvZTJvRG9jLnhtbFBLAQItABQABgAIAAAAIQBkFyrb&#10;4gAAAAoBAAAPAAAAAAAAAAAAAAAAAJwEAABkcnMvZG93bnJldi54bWxQSwUGAAAAAAQABADzAAAA&#10;qwUAAAAA&#10;" fillcolor="window" stroked="f" strokeweight=".5pt">
                <v:textbox>
                  <w:txbxContent>
                    <w:p w14:paraId="5DDBBEEA" w14:textId="14CDB33C" w:rsidR="00827A67" w:rsidRPr="00C83E52" w:rsidRDefault="00827A67" w:rsidP="00827A67">
                      <w:pPr>
                        <w:jc w:val="center"/>
                        <w:rPr>
                          <w:sz w:val="20"/>
                          <w:szCs w:val="20"/>
                          <w:lang w:val="en-US"/>
                        </w:rPr>
                      </w:pPr>
                      <w:r w:rsidRPr="00C83E52">
                        <w:rPr>
                          <w:sz w:val="20"/>
                          <w:szCs w:val="20"/>
                          <w:lang w:val="en-US"/>
                        </w:rPr>
                        <w:t>1</w:t>
                      </w:r>
                      <w:r>
                        <w:rPr>
                          <w:sz w:val="20"/>
                          <w:szCs w:val="20"/>
                          <w:lang w:val="en-US"/>
                        </w:rPr>
                        <w:t>4</w:t>
                      </w:r>
                    </w:p>
                  </w:txbxContent>
                </v:textbox>
              </v:shape>
            </w:pict>
          </mc:Fallback>
        </mc:AlternateContent>
      </w:r>
    </w:p>
    <w:p w14:paraId="79F11B95" w14:textId="77777777" w:rsidR="001115C3" w:rsidRPr="009A604E" w:rsidRDefault="001115C3" w:rsidP="001115C3">
      <w:pPr>
        <w:spacing w:after="120"/>
        <w:rPr>
          <w:b/>
          <w:sz w:val="22"/>
          <w:szCs w:val="22"/>
        </w:rPr>
      </w:pPr>
      <w:r w:rsidRPr="009A604E">
        <w:rPr>
          <w:b/>
          <w:sz w:val="22"/>
          <w:szCs w:val="22"/>
        </w:rPr>
        <w:lastRenderedPageBreak/>
        <w:t>The Role of Communication and Stakeholder Engagement</w:t>
      </w:r>
    </w:p>
    <w:p w14:paraId="31BC267B" w14:textId="77777777" w:rsidR="001115C3" w:rsidRPr="009A604E" w:rsidRDefault="001115C3" w:rsidP="001115C3">
      <w:pPr>
        <w:spacing w:after="120"/>
        <w:ind w:firstLine="720"/>
        <w:rPr>
          <w:sz w:val="22"/>
          <w:szCs w:val="22"/>
          <w:lang w:val="id-ID"/>
        </w:rPr>
      </w:pPr>
      <w:r w:rsidRPr="009A604E">
        <w:rPr>
          <w:sz w:val="22"/>
          <w:szCs w:val="22"/>
        </w:rPr>
        <w:t>Effective communication and regular stakeholder engagement were frequently mentioned as key factors in ensuring the successful implementation of sustainable corporate governance practices. Executives emphasized the importance of maintaining transparent communication channels with both internal and external stakeholders to foster understanding and collaboration.</w:t>
      </w:r>
    </w:p>
    <w:p w14:paraId="1A1D0032" w14:textId="073C0A93" w:rsidR="001115C3" w:rsidRPr="009A604E" w:rsidRDefault="001115C3" w:rsidP="001115C3">
      <w:pPr>
        <w:spacing w:after="120"/>
        <w:ind w:firstLine="720"/>
        <w:rPr>
          <w:sz w:val="22"/>
          <w:szCs w:val="22"/>
          <w:lang w:val="id-ID"/>
        </w:rPr>
      </w:pPr>
      <w:proofErr w:type="gramStart"/>
      <w:r w:rsidRPr="009A604E">
        <w:rPr>
          <w:sz w:val="22"/>
          <w:szCs w:val="22"/>
        </w:rPr>
        <w:t>According to one participant:</w:t>
      </w:r>
      <w:r w:rsidRPr="009A604E">
        <w:rPr>
          <w:sz w:val="22"/>
          <w:szCs w:val="22"/>
          <w:lang w:val="id-ID"/>
        </w:rPr>
        <w:t xml:space="preserve"> </w:t>
      </w:r>
      <w:r w:rsidRPr="009A604E">
        <w:rPr>
          <w:sz w:val="22"/>
          <w:szCs w:val="22"/>
        </w:rPr>
        <w:t>"We hold regular meetings with stakeholders to ensure that the governance policies remain relevant and are supported by everyone in the organization.</w:t>
      </w:r>
      <w:proofErr w:type="gramEnd"/>
      <w:r w:rsidRPr="009A604E">
        <w:rPr>
          <w:sz w:val="22"/>
          <w:szCs w:val="22"/>
        </w:rPr>
        <w:t xml:space="preserve"> It’s a structured process that involves periodic reporting and audits to evaluate our effectiveness." (Executive 5)</w:t>
      </w:r>
      <w:r w:rsidR="008026B4" w:rsidRPr="009A604E">
        <w:rPr>
          <w:sz w:val="22"/>
          <w:szCs w:val="22"/>
          <w:lang w:val="id-ID"/>
        </w:rPr>
        <w:t xml:space="preserve"> This aligns with previous findings that underscore the importance of stakeholder dialogue in mitigating resistance to governance reforms (Freeman, 1984). However, the study goes further by highlighting the iterative nature of these engagements and their role in aligning diverse stakeholder priorities with sustainability objectives.</w:t>
      </w:r>
    </w:p>
    <w:p w14:paraId="659D4AE3" w14:textId="77777777" w:rsidR="001115C3" w:rsidRPr="009A604E" w:rsidRDefault="001115C3" w:rsidP="001115C3">
      <w:pPr>
        <w:spacing w:after="120"/>
        <w:ind w:firstLine="720"/>
        <w:rPr>
          <w:sz w:val="22"/>
          <w:szCs w:val="22"/>
        </w:rPr>
      </w:pPr>
      <w:r w:rsidRPr="009A604E">
        <w:rPr>
          <w:sz w:val="22"/>
          <w:szCs w:val="22"/>
        </w:rPr>
        <w:t>These formal processes, which include structured meetings and reports, are designed to ensure that corporate governance policies are not only in place but are also continually updated in response to evolving stakeholder needs and external conditions. This regular engagement contributes to the alignment of governance principles with the company’s strategic goals, ultimately helping to mitigate resistance and build broader buy-in.</w:t>
      </w:r>
    </w:p>
    <w:p w14:paraId="5E4EE6AA" w14:textId="77777777" w:rsidR="001115C3" w:rsidRPr="009A604E" w:rsidRDefault="001115C3" w:rsidP="001115C3">
      <w:pPr>
        <w:spacing w:after="120"/>
        <w:rPr>
          <w:b/>
          <w:sz w:val="22"/>
          <w:szCs w:val="22"/>
        </w:rPr>
      </w:pPr>
      <w:r w:rsidRPr="009A604E">
        <w:rPr>
          <w:b/>
          <w:sz w:val="22"/>
          <w:szCs w:val="22"/>
        </w:rPr>
        <w:t>The Perceived Long-Term Benefits of Sustainable Governance</w:t>
      </w:r>
    </w:p>
    <w:p w14:paraId="13F3FFCC" w14:textId="77777777" w:rsidR="001115C3" w:rsidRPr="009A604E" w:rsidRDefault="001115C3" w:rsidP="001115C3">
      <w:pPr>
        <w:spacing w:after="120"/>
        <w:ind w:firstLine="720"/>
        <w:rPr>
          <w:sz w:val="22"/>
          <w:szCs w:val="22"/>
          <w:lang w:val="id-ID"/>
        </w:rPr>
      </w:pPr>
      <w:r w:rsidRPr="009A604E">
        <w:rPr>
          <w:sz w:val="22"/>
          <w:szCs w:val="22"/>
        </w:rPr>
        <w:t>Despite the challenges, many executives underscored the long-term benefits of adopting sustainable corporate governance practices. They pointed out that, over time, these principles contribute to enhanced stakeholder trust, improved reputation, and better organizational performance.</w:t>
      </w:r>
    </w:p>
    <w:p w14:paraId="12A8E823" w14:textId="77777777" w:rsidR="001115C3" w:rsidRPr="009A604E" w:rsidRDefault="001115C3" w:rsidP="001115C3">
      <w:pPr>
        <w:spacing w:after="120"/>
        <w:ind w:firstLine="720"/>
        <w:rPr>
          <w:sz w:val="22"/>
          <w:szCs w:val="22"/>
          <w:lang w:val="id-ID"/>
        </w:rPr>
      </w:pPr>
      <w:r w:rsidRPr="009A604E">
        <w:rPr>
          <w:sz w:val="22"/>
          <w:szCs w:val="22"/>
        </w:rPr>
        <w:t>One executive remarked:</w:t>
      </w:r>
      <w:r w:rsidRPr="009A604E">
        <w:rPr>
          <w:sz w:val="22"/>
          <w:szCs w:val="22"/>
          <w:lang w:val="id-ID"/>
        </w:rPr>
        <w:t xml:space="preserve"> </w:t>
      </w:r>
      <w:r w:rsidRPr="009A604E">
        <w:rPr>
          <w:sz w:val="22"/>
          <w:szCs w:val="22"/>
        </w:rPr>
        <w:t>"At first, it’s hard to see the financial benefits of implementing sustainable governance practices. But over time, we’ve seen increased trust from our stakeholders and a stronger reputation in the market, which has translated into better business outcomes." (Executive 7)</w:t>
      </w:r>
    </w:p>
    <w:p w14:paraId="256E64AC" w14:textId="4CDD580E" w:rsidR="008026B4" w:rsidRPr="009A604E" w:rsidRDefault="008026B4" w:rsidP="001115C3">
      <w:pPr>
        <w:spacing w:after="120"/>
        <w:ind w:firstLine="720"/>
        <w:rPr>
          <w:sz w:val="22"/>
          <w:szCs w:val="22"/>
          <w:lang w:val="id-ID"/>
        </w:rPr>
      </w:pPr>
      <w:r w:rsidRPr="009A604E">
        <w:rPr>
          <w:sz w:val="22"/>
          <w:szCs w:val="22"/>
          <w:lang w:val="id-ID"/>
        </w:rPr>
        <w:t>This finding echoes the work of Martinez-Sanchez et al. (2020), which links sustainable governance with enhanced corporate reputation and market performance. However, the present study adds depth by demonstrating how these benefits are personally interpreted and experienced by executives, thus contextualizing abstract outcomes within real-world leadership dynamics.</w:t>
      </w:r>
    </w:p>
    <w:p w14:paraId="74DE54F0" w14:textId="77777777" w:rsidR="001115C3" w:rsidRPr="009A604E" w:rsidRDefault="001115C3" w:rsidP="001115C3">
      <w:pPr>
        <w:spacing w:after="120"/>
        <w:ind w:firstLine="720"/>
        <w:rPr>
          <w:sz w:val="22"/>
          <w:szCs w:val="22"/>
          <w:lang w:val="id-ID"/>
        </w:rPr>
      </w:pPr>
      <w:r w:rsidRPr="009A604E">
        <w:rPr>
          <w:sz w:val="22"/>
          <w:szCs w:val="22"/>
        </w:rPr>
        <w:t>The adoption of sustainable corporate governance principles was often associated with a deeper commitment to corporate social responsibility (CSR) and environmental sustainability, areas where companies saw tangible benefits in terms of long-term profitability and stakeholder loyalty. Executives reported that aligning their business strategies with these values helped them to strengthen their market position, particularly in industries where environmental and social concerns are increasingly important to consumers and investors.</w:t>
      </w:r>
    </w:p>
    <w:p w14:paraId="106D6D4E" w14:textId="77777777" w:rsidR="00E878B7" w:rsidRPr="009A604E" w:rsidRDefault="001115C3" w:rsidP="00E878B7">
      <w:pPr>
        <w:spacing w:after="120"/>
        <w:ind w:firstLine="720"/>
        <w:rPr>
          <w:sz w:val="22"/>
          <w:szCs w:val="22"/>
          <w:lang w:val="id-ID"/>
        </w:rPr>
      </w:pPr>
      <w:r w:rsidRPr="009A604E">
        <w:rPr>
          <w:sz w:val="22"/>
          <w:szCs w:val="22"/>
        </w:rPr>
        <w:t>The results of this study reveal the complex and multifaceted nature of implementing sustainable corporate governance within multinational companies. The findings highlight the significant challenges, particularly in terms of stakeholder resistance, cultural differences, and the difficulty of measuring long-term outcomes. However, the data also show that, with strategic communication, stakeholder engagement, and a commitment to aligning governance practices with long-term sustainability goals, companies can overcome these challenges. The long-term benefits, particularly in terms of trust and reputation, provide strong incentives for companies to continue pursuing sustainable governance practices.</w:t>
      </w:r>
    </w:p>
    <w:p w14:paraId="51071563" w14:textId="79998248" w:rsidR="00E878B7" w:rsidRPr="009A604E" w:rsidRDefault="00827A67" w:rsidP="00E878B7">
      <w:pPr>
        <w:spacing w:after="120"/>
        <w:ind w:firstLine="720"/>
        <w:rPr>
          <w:sz w:val="22"/>
          <w:szCs w:val="22"/>
          <w:lang w:val="id-ID"/>
        </w:rPr>
      </w:pPr>
      <w:r>
        <w:rPr>
          <w:noProof/>
          <w:lang w:val="id-ID"/>
        </w:rPr>
        <mc:AlternateContent>
          <mc:Choice Requires="wps">
            <w:drawing>
              <wp:anchor distT="0" distB="0" distL="114300" distR="114300" simplePos="0" relativeHeight="251655680" behindDoc="0" locked="0" layoutInCell="1" allowOverlap="1" wp14:anchorId="11280902" wp14:editId="0889215A">
                <wp:simplePos x="0" y="0"/>
                <wp:positionH relativeFrom="column">
                  <wp:posOffset>5381625</wp:posOffset>
                </wp:positionH>
                <wp:positionV relativeFrom="paragraph">
                  <wp:posOffset>1524000</wp:posOffset>
                </wp:positionV>
                <wp:extent cx="323850" cy="238125"/>
                <wp:effectExtent l="0" t="0" r="0" b="9525"/>
                <wp:wrapNone/>
                <wp:docPr id="15641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38125"/>
                        </a:xfrm>
                        <a:prstGeom prst="rect">
                          <a:avLst/>
                        </a:prstGeom>
                        <a:solidFill>
                          <a:sysClr val="window" lastClr="FFFFFF"/>
                        </a:solidFill>
                        <a:ln w="6350">
                          <a:noFill/>
                        </a:ln>
                      </wps:spPr>
                      <wps:txbx>
                        <w:txbxContent>
                          <w:p w14:paraId="3261B3DA" w14:textId="6523B526" w:rsidR="00827A67" w:rsidRPr="00C83E52" w:rsidRDefault="00827A67" w:rsidP="00827A67">
                            <w:pPr>
                              <w:jc w:val="center"/>
                              <w:rPr>
                                <w:sz w:val="20"/>
                                <w:szCs w:val="20"/>
                                <w:lang w:val="en-US"/>
                              </w:rPr>
                            </w:pPr>
                            <w:r w:rsidRPr="00C83E52">
                              <w:rPr>
                                <w:sz w:val="20"/>
                                <w:szCs w:val="20"/>
                                <w:lang w:val="en-US"/>
                              </w:rPr>
                              <w:t>1</w:t>
                            </w:r>
                            <w:r>
                              <w:rPr>
                                <w:sz w:val="20"/>
                                <w:szCs w:val="20"/>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1280902" id="_x0000_s1031" type="#_x0000_t202" style="position:absolute;left:0;text-align:left;margin-left:423.75pt;margin-top:120pt;width:25.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tVQQIAAIQEAAAOAAAAZHJzL2Uyb0RvYy54bWysVEtv2zAMvg/YfxB0X51n1xlxiixFhgFB&#10;WyAdelZkKRYmi5qkxM5+/SjZeazbaVgOCilSJL+PpGf3ba3JQTivwBR0eDOgRBgOpTK7gn57WX24&#10;o8QHZkqmwYiCHoWn9/P372aNzcUIKtClcASDGJ83tqBVCDbPMs8rUTN/A1YYNEpwNQuoul1WOtZg&#10;9Fpno8HgNmvAldYBF97j7UNnpPMUX0rBw5OUXgSiC4q1hXS6dG7jmc1nLN85ZivF+zLYP1RRM2Uw&#10;6TnUAwuM7J36I1StuAMPMtxwqDOQUnGRMCCa4eANmk3FrEhYkBxvzzT5/xeWPx429tmR0H6GFhuY&#10;QHi7Bv7dIzdZY33e+0ROfe7ROwJtpavjP0Ig+BC5PZ75FG0gHC/Ho/HdFC0cTSgOR9PId3Z5bJ0P&#10;XwTUJAoFddiuVAA7rH3oXE8uMZcHrcqV0jopR7/UjhwYdhYHooSGEs18wMuCrtKvz/bbM21IU9Db&#10;MdYVoxiI8bpU2vSAO4wRbWi3LVFlQVPl8WYL5RH5ctCNkrd8pbD4NWZ+Zg5nB/HiPoQnPKQGzAW9&#10;REkF7uff7qM/thStlDQ4iwX1P/bMCQT01WCzPw0nkzi8SZlMP45QcdeW7bXF7OslIClD3DzLkxj9&#10;gz6J0kH9imuziFnRxAzH3AUNJ3EZug3BteNisUhOOK6WhbXZWH4ak9ial/aVOdv3L2DjH+E0tSx/&#10;08bOt2N9sQ8gVerxhdWefhz1NCX9WsZdutaT1+XjMf8FAAD//wMAUEsDBBQABgAIAAAAIQAxUCz+&#10;4QAAAAsBAAAPAAAAZHJzL2Rvd25yZXYueG1sTI/BTsMwEETvSPyDtUjcqENVaAhxKoRAUImoEJC4&#10;uvGSBOJ1ZLtN6NeznOC4M0+zM/lqsr3Yow+dIwXnswQEUu1MR42Ct9f7sxREiJqM7h2hgm8MsCqO&#10;j3KdGTfSC+6r2AgOoZBpBW2MQyZlqFu0OszcgMTeh/NWRz59I43XI4fbXs6T5FJa3RF/aPWAty3W&#10;X9XOKngfqwe/Wa8/n4fH8rA5VOUT3pVKnZ5MN9cgIk7xD4bf+lwdCu60dTsyQfQK0sXyglEF80XC&#10;o5hIr1JWtqws2ZJFLv9vKH4AAAD//wMAUEsBAi0AFAAGAAgAAAAhALaDOJL+AAAA4QEAABMAAAAA&#10;AAAAAAAAAAAAAAAAAFtDb250ZW50X1R5cGVzXS54bWxQSwECLQAUAAYACAAAACEAOP0h/9YAAACU&#10;AQAACwAAAAAAAAAAAAAAAAAvAQAAX3JlbHMvLnJlbHNQSwECLQAUAAYACAAAACEAcR4rVUECAACE&#10;BAAADgAAAAAAAAAAAAAAAAAuAgAAZHJzL2Uyb0RvYy54bWxQSwECLQAUAAYACAAAACEAMVAs/uEA&#10;AAALAQAADwAAAAAAAAAAAAAAAACbBAAAZHJzL2Rvd25yZXYueG1sUEsFBgAAAAAEAAQA8wAAAKkF&#10;AAAAAA==&#10;" fillcolor="window" stroked="f" strokeweight=".5pt">
                <v:textbox>
                  <w:txbxContent>
                    <w:p w14:paraId="3261B3DA" w14:textId="6523B526" w:rsidR="00827A67" w:rsidRPr="00C83E52" w:rsidRDefault="00827A67" w:rsidP="00827A67">
                      <w:pPr>
                        <w:jc w:val="center"/>
                        <w:rPr>
                          <w:sz w:val="20"/>
                          <w:szCs w:val="20"/>
                          <w:lang w:val="en-US"/>
                        </w:rPr>
                      </w:pPr>
                      <w:r w:rsidRPr="00C83E52">
                        <w:rPr>
                          <w:sz w:val="20"/>
                          <w:szCs w:val="20"/>
                          <w:lang w:val="en-US"/>
                        </w:rPr>
                        <w:t>1</w:t>
                      </w:r>
                      <w:r>
                        <w:rPr>
                          <w:sz w:val="20"/>
                          <w:szCs w:val="20"/>
                          <w:lang w:val="en-US"/>
                        </w:rPr>
                        <w:t>5</w:t>
                      </w:r>
                    </w:p>
                  </w:txbxContent>
                </v:textbox>
              </v:shape>
            </w:pict>
          </mc:Fallback>
        </mc:AlternateContent>
      </w:r>
      <w:r w:rsidR="00E878B7" w:rsidRPr="009A604E">
        <w:rPr>
          <w:sz w:val="22"/>
          <w:szCs w:val="22"/>
          <w:lang w:val="id-ID"/>
        </w:rPr>
        <w:t>The main findings of this study reveal that the experience of senior executives in multinational corporations as they navigate sustainable corporate governance is deeply influenced by personal values, organizational challenges, and global dynamics. These executives consistently report balancing the tensions between business goals and the ethical demands of sustainability, with their experiences shaping how they define and implement governance practices within their organizations. This aligns directly with the overarching question posed in the introduction regarding the relationship between business strategy, governance practices, and long-term corporate sustainability.</w:t>
      </w:r>
    </w:p>
    <w:p w14:paraId="17CC5ED1" w14:textId="77777777" w:rsidR="00E878B7" w:rsidRPr="009A604E" w:rsidRDefault="00E878B7" w:rsidP="00E878B7">
      <w:pPr>
        <w:spacing w:after="120"/>
        <w:ind w:firstLine="720"/>
        <w:rPr>
          <w:sz w:val="22"/>
          <w:szCs w:val="22"/>
          <w:lang w:val="id-ID"/>
        </w:rPr>
      </w:pPr>
      <w:r w:rsidRPr="009A604E">
        <w:rPr>
          <w:sz w:val="22"/>
          <w:szCs w:val="22"/>
          <w:lang w:val="id-ID"/>
        </w:rPr>
        <w:lastRenderedPageBreak/>
        <w:t>The results of this study provide nuanced insights into how senior executives perceive and manage the complexities of sustainable corporate governance. Through the phenomenological lens, it becomes clear that these executives often experience a conflict between the external pressure to conform to global standards of governance and the internal pressures of aligning these standards with local business practices and values. The findings indicate that the personal interpretation of sustainability varies among individuals, suggesting that corporate governance is not merely a set of policies to be implemented, but a dynamic and subjective experience shaped by the lived realities of executives. This study uniquely contributes to the understanding of corporate governance by highlighting the personal dimensions of decision-making that are often overlooked in quantitative studies.</w:t>
      </w:r>
    </w:p>
    <w:p w14:paraId="165E4854" w14:textId="77777777" w:rsidR="00E878B7" w:rsidRPr="009A604E" w:rsidRDefault="00E878B7" w:rsidP="00E878B7">
      <w:pPr>
        <w:spacing w:after="120"/>
        <w:ind w:firstLine="720"/>
        <w:rPr>
          <w:sz w:val="22"/>
          <w:szCs w:val="22"/>
          <w:lang w:val="id-ID"/>
        </w:rPr>
      </w:pPr>
      <w:r w:rsidRPr="009A604E">
        <w:rPr>
          <w:sz w:val="22"/>
          <w:szCs w:val="22"/>
          <w:lang w:val="id-ID"/>
        </w:rPr>
        <w:t>When comparing these findings to existing literature, the study complements and expands upon previous research on corporate governance by emphasizing the subjective experience of executives</w:t>
      </w:r>
      <w:r w:rsidR="00AD746E" w:rsidRPr="009A604E">
        <w:rPr>
          <w:sz w:val="22"/>
          <w:szCs w:val="22"/>
          <w:lang w:val="id-ID"/>
        </w:rPr>
        <w:t xml:space="preserve"> </w:t>
      </w:r>
      <w:r w:rsidR="00AD746E" w:rsidRPr="009A604E">
        <w:rPr>
          <w:sz w:val="22"/>
          <w:szCs w:val="22"/>
          <w:lang w:val="id-ID"/>
        </w:rPr>
        <w:fldChar w:fldCharType="begin"/>
      </w:r>
      <w:r w:rsidR="00AD746E" w:rsidRPr="009A604E">
        <w:rPr>
          <w:sz w:val="22"/>
          <w:szCs w:val="22"/>
          <w:lang w:val="id-ID"/>
        </w:rPr>
        <w:instrText xml:space="preserve"> ADDIN ZOTERO_ITEM CSL_CITATION {"citationID":"9xENblp9","properties":{"formattedCitation":"(Chevrollier dkk., 2020)","plainCitation":"(Chevrollier dkk., 2020)","noteIndex":0},"citationItems":[{"id":19568,"uris":["http://zotero.org/users/11749608/items/CDQ4P9NT"],"itemData":{"id":19568,"type":"article-journal","abstract":"Purpose: Despite the scholarly attention for the integration of sustainability within business strategy and processes, little is known about how strategic orientations of companies influence this integration. Drawing on stewardship theory, this paper aims to analyse the influence of strategic orientation of companies on their environmental, social and corporate governance (ESG) performance and the moderating effect of three different political models of economy (Rhine, British and American). Design/methodology/approach: This paper creates a measurement for strategic orientations by using a coding scheme with a five-category evaluation matrix. The main empirical analysis is done by a fixed-effect model with a panel data set covering 179 publicly traded companies over the 2009-2016 period. Findings: The conclusions of this paper present that – consistent over time – a stronger orientation on stewardship positively associates with higher ESG performance. Additionally, the political model of economy significantly alters the relationship indicating the effect of strategic orientation on ESG performance. The relationship is significantly stronger in the Rhine model and significantly weaker in the British model, when both compared to the American model. Originality/value: The implications of this paper are vital to understanding corporate strategic orientation and its relationship to actual corporate behaviour and long-term performance. Implementing the elements of focus, motivation, commitment, support and communication linked to a stewardship orientation is fundamental to achieve higher levels of sustainability performance. © 2020, Emerald Publishing Limited.","archive":"Scopus","container-title":"Corporate Governance (Bingley)","DOI":"10.1108/CG-03-2019-0105","issue":"1","note":"publisher: Emerald Group Holdings Ltd.","page":"123-142","title":"The predictive value of strategic orientation for ESG performance over time","volume":"20","author":[{"family":"Chevrollier","given":"N."},{"family":"Zhang","given":"J."},{"family":"Leeuwen","given":"T.","non-dropping-particle":"van"},{"family":"Nijhof","given":"A."}],"issued":{"date-parts":[["2020"]]}}}],"schema":"https://github.com/citation-style-language/schema/raw/master/csl-citation.json"} </w:instrText>
      </w:r>
      <w:r w:rsidR="00AD746E" w:rsidRPr="009A604E">
        <w:rPr>
          <w:sz w:val="22"/>
          <w:szCs w:val="22"/>
          <w:lang w:val="id-ID"/>
        </w:rPr>
        <w:fldChar w:fldCharType="separate"/>
      </w:r>
      <w:r w:rsidR="00AD746E" w:rsidRPr="009A604E">
        <w:rPr>
          <w:sz w:val="22"/>
        </w:rPr>
        <w:t>(Chevrollier dkk., 2020)</w:t>
      </w:r>
      <w:r w:rsidR="00AD746E" w:rsidRPr="009A604E">
        <w:rPr>
          <w:sz w:val="22"/>
          <w:szCs w:val="22"/>
          <w:lang w:val="id-ID"/>
        </w:rPr>
        <w:fldChar w:fldCharType="end"/>
      </w:r>
      <w:r w:rsidRPr="009A604E">
        <w:rPr>
          <w:sz w:val="22"/>
          <w:szCs w:val="22"/>
          <w:lang w:val="id-ID"/>
        </w:rPr>
        <w:t>. While theories such as agency theory and stakeholder theory have long been used to frame corporate governance practices, these frameworks tend to focus on organizational structures and external relationships rather than the internal, experiential factors that influence decision-making. The study also challenges the traditional view that corporate governance is primarily a technical or regulatory practice, suggesting that it is deeply intertwined with personal and organizational ethics. The personal experiences reported by executives echo findings from other qualitative research that highlights the emotional and ethical dimensions of leadership in organizational settings (Freeman, 1984; Jensen &amp; Meckling, 1976). This research thus contributes to a more holistic view of corporate governance, one that recognizes the complex interplay between theory, practice, and individual experience.</w:t>
      </w:r>
    </w:p>
    <w:p w14:paraId="3A096E2C" w14:textId="77777777" w:rsidR="00E878B7" w:rsidRPr="009A604E" w:rsidRDefault="00E878B7" w:rsidP="00E878B7">
      <w:pPr>
        <w:spacing w:after="120"/>
        <w:ind w:firstLine="720"/>
        <w:rPr>
          <w:sz w:val="22"/>
          <w:szCs w:val="22"/>
          <w:lang w:val="id-ID"/>
        </w:rPr>
      </w:pPr>
      <w:r w:rsidRPr="009A604E">
        <w:rPr>
          <w:sz w:val="22"/>
          <w:szCs w:val="22"/>
          <w:lang w:val="id-ID"/>
        </w:rPr>
        <w:t>The findings of this study offer valuable implications both in terms of academic understanding and practical applications. From a theoretical standpoint, the research contributes to a deeper understanding of how corporate governance is shaped by the lived experiences of senior executives, providing insight into the personal and ethical dimensions that influence decision-making. This research emphasizes the importance of incorporating human factors into governance frameworks, advocating for a shift toward more holistic approaches in governance theory. Practically, the study suggests that organizations seeking to improve their sustainability practices should consider the personal experiences and values of their leaders, as these internal influences can significantly impact governance decisions</w:t>
      </w:r>
      <w:r w:rsidR="00AD746E" w:rsidRPr="009A604E">
        <w:rPr>
          <w:sz w:val="22"/>
          <w:szCs w:val="22"/>
          <w:lang w:val="id-ID"/>
        </w:rPr>
        <w:t xml:space="preserve"> </w:t>
      </w:r>
      <w:r w:rsidR="00AD746E" w:rsidRPr="009A604E">
        <w:rPr>
          <w:sz w:val="22"/>
          <w:szCs w:val="22"/>
          <w:lang w:val="id-ID"/>
        </w:rPr>
        <w:fldChar w:fldCharType="begin"/>
      </w:r>
      <w:r w:rsidR="00AD746E" w:rsidRPr="009A604E">
        <w:rPr>
          <w:sz w:val="22"/>
          <w:szCs w:val="22"/>
          <w:lang w:val="id-ID"/>
        </w:rPr>
        <w:instrText xml:space="preserve"> ADDIN ZOTERO_ITEM CSL_CITATION {"citationID":"Xufau9tk","properties":{"formattedCitation":"(Martinez-Sanchez dkk., 2020)","plainCitation":"(Martinez-Sanchez dkk., 2020)","noteIndex":0},"citationItems":[{"id":19556,"uris":["http://zotero.org/users/11749608/items/687TC22C"],"itemData":{"id":19556,"type":"article-journal","abstract":"Purpose: The study analyzes the relationship between human resources (HR) flexibility and absorptive capacity (AC) of knowledge in a sample of Spanish manufacturing firms. The purpose of the research is to analyze if firms with greater AC are more flexible than other firms and to assess the implications of different combinations of HR flexibility and AC for innovation. Design/methodology/approach: The study sample consisted of 1,666 Spanish industrial firms in 2015 compiled from a large set of statements from the Survey of Business Strategies (SBS) questionnaire. The methodology includes a cluster analysis and a case study of selected firms. First, a k-means clustering analysis was carried out to explore how homogeneous are the SBS firms according to several HR flexibility and AC measures. The authors complement the clustering itself with some descriptive statistics for each cluster. Second, the statistical analysis is followed by a selection of case studies from industrial firms in different positions regarding innovation, AC, and HR flexibility. The information for the cases studies comes from secondary sources such as corporate governance reports and statements of managers and employees from company websites and public reports. Findings: The empirical evidence indicates that some combinations of HR flexibility and AC are positively related to innovation outputs whereas others are not. Firms with greater AC, R&amp;D effort and innovation outputs have less “bad” HR flexibility (external numerical flexibility from temporary employees and temporary help agencies) and more “good” HR flexibility (internal and external functional flexibility). On the contrary, firms with minimum or non-existent innovation and AC efforts have the highest levels of temporary employment and do not hire external R&amp;D experts. Research limitations/implications: The limitations of the cross-sectional nature of the study make the authors cautious about any proposition that may suggest a causal relationship among the studied variables. Practical implications: Managers should pay attention to the different implications of each HR flexibility dimension for innovation activities since innovative companies value more those HR flexibility dimensions that contribute to the dispersion of knowledge within the firm. Originality/value: The authors propose a framework to analyze the combination of HR flexibility and AC most suitable to different types of firms. Based on the statistical analyses and the case studies, the authors propose some strategic implications useful for the management of human resources. The matrix's framework analyzes the firm's innovation strategies according to the interactions between AC and the mix of HR flexibility dimensions. © 2020, Emerald Publishing Limited.","archive":"Scopus","container-title":"European Journal of Innovation Management","DOI":"10.1108/EJIM-10-2019-0314","issue":"2","note":"publisher: Emerald Group Holdings Ltd.","page":"315-337","title":"The strategy of human resource flexibility versus absorptive capacity of knowledge: An integrative framework in industrial firms","volume":"24","author":[{"family":"Martinez-Sanchez","given":"A."},{"family":"Vicente-Oliva","given":"S."},{"family":"Pérez-Pérez","given":"M."}],"issued":{"date-parts":[["2020"]]}}}],"schema":"https://github.com/citation-style-language/schema/raw/master/csl-citation.json"} </w:instrText>
      </w:r>
      <w:r w:rsidR="00AD746E" w:rsidRPr="009A604E">
        <w:rPr>
          <w:sz w:val="22"/>
          <w:szCs w:val="22"/>
          <w:lang w:val="id-ID"/>
        </w:rPr>
        <w:fldChar w:fldCharType="separate"/>
      </w:r>
      <w:r w:rsidR="00AD746E" w:rsidRPr="009A604E">
        <w:rPr>
          <w:sz w:val="22"/>
        </w:rPr>
        <w:t>(Martinez-Sanchez dkk., 2020)</w:t>
      </w:r>
      <w:r w:rsidR="00AD746E" w:rsidRPr="009A604E">
        <w:rPr>
          <w:sz w:val="22"/>
          <w:szCs w:val="22"/>
          <w:lang w:val="id-ID"/>
        </w:rPr>
        <w:fldChar w:fldCharType="end"/>
      </w:r>
      <w:r w:rsidRPr="009A604E">
        <w:rPr>
          <w:sz w:val="22"/>
          <w:szCs w:val="22"/>
          <w:lang w:val="id-ID"/>
        </w:rPr>
        <w:t>. The experiences shared by executives in this study highlight the role of personal reflection and ethical commitment in shaping corporate strategies, underlining the importance of nurturing ethical leadership in the business environment. Moreover, this research has implications for broader global contexts, as the findings highlight the tension between local cultural values and global sustainability standards, a challenge that is particularly relevant for multinational corporations operating in diverse regions.</w:t>
      </w:r>
    </w:p>
    <w:p w14:paraId="16D4558B" w14:textId="77777777" w:rsidR="00E878B7" w:rsidRPr="009A604E" w:rsidRDefault="00E878B7" w:rsidP="00E878B7">
      <w:pPr>
        <w:spacing w:after="120"/>
        <w:ind w:firstLine="720"/>
        <w:rPr>
          <w:sz w:val="22"/>
          <w:szCs w:val="22"/>
          <w:lang w:val="id-ID"/>
        </w:rPr>
      </w:pPr>
      <w:r w:rsidRPr="009A604E">
        <w:rPr>
          <w:sz w:val="22"/>
          <w:szCs w:val="22"/>
          <w:lang w:val="id-ID"/>
        </w:rPr>
        <w:t>While the study provides valuable insights, there are several limitations that need to be acknowledged. First, the phenomenological approach, by nature, focuses on individual experiences, meaning that the findings may not be directly generalizable to larger populations or to different organizational contexts. The sample size, although sufficient for phenomenological analysis, is relatively small, consisting of senior executives from multinational corporations, which may limit the diversity of experiences captured. Additionally, the study primarily focuses on executives’ perspectives, and as such, the experiences of other stakeholders, such as employees or board members, may not have been fully captured. Another limitation is the potential for researcher bias, as the analysis of qualitative data is inherently subjective, despite efforts to ensure rigor and transparency in the process. Future studies could expand the sample size and include a broader range of stakeholders to enhance the generalizability and depth of the findings.</w:t>
      </w:r>
    </w:p>
    <w:p w14:paraId="6AE27AE1" w14:textId="5AEE95DA" w:rsidR="00E878B7" w:rsidRPr="009A604E" w:rsidRDefault="00827A67" w:rsidP="00E878B7">
      <w:pPr>
        <w:spacing w:after="120"/>
        <w:ind w:firstLine="720"/>
        <w:rPr>
          <w:sz w:val="22"/>
          <w:szCs w:val="22"/>
          <w:lang w:val="id-ID"/>
        </w:rPr>
      </w:pPr>
      <w:r>
        <w:rPr>
          <w:noProof/>
          <w:lang w:val="id-ID"/>
        </w:rPr>
        <mc:AlternateContent>
          <mc:Choice Requires="wps">
            <w:drawing>
              <wp:anchor distT="0" distB="0" distL="114300" distR="114300" simplePos="0" relativeHeight="251656704" behindDoc="0" locked="0" layoutInCell="1" allowOverlap="1" wp14:anchorId="0DF7B71F" wp14:editId="27821C7D">
                <wp:simplePos x="0" y="0"/>
                <wp:positionH relativeFrom="column">
                  <wp:posOffset>5391150</wp:posOffset>
                </wp:positionH>
                <wp:positionV relativeFrom="paragraph">
                  <wp:posOffset>1189990</wp:posOffset>
                </wp:positionV>
                <wp:extent cx="323850" cy="238125"/>
                <wp:effectExtent l="0" t="0" r="0" b="9525"/>
                <wp:wrapNone/>
                <wp:docPr id="1323888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38125"/>
                        </a:xfrm>
                        <a:prstGeom prst="rect">
                          <a:avLst/>
                        </a:prstGeom>
                        <a:solidFill>
                          <a:sysClr val="window" lastClr="FFFFFF"/>
                        </a:solidFill>
                        <a:ln w="6350">
                          <a:noFill/>
                        </a:ln>
                      </wps:spPr>
                      <wps:txbx>
                        <w:txbxContent>
                          <w:p w14:paraId="25E95A0F" w14:textId="1B931C2B" w:rsidR="00827A67" w:rsidRPr="00C83E52" w:rsidRDefault="00827A67" w:rsidP="00827A67">
                            <w:pPr>
                              <w:jc w:val="center"/>
                              <w:rPr>
                                <w:sz w:val="20"/>
                                <w:szCs w:val="20"/>
                                <w:lang w:val="en-US"/>
                              </w:rPr>
                            </w:pPr>
                            <w:r w:rsidRPr="00C83E52">
                              <w:rPr>
                                <w:sz w:val="20"/>
                                <w:szCs w:val="20"/>
                                <w:lang w:val="en-US"/>
                              </w:rPr>
                              <w:t>1</w:t>
                            </w:r>
                            <w:r>
                              <w:rPr>
                                <w:sz w:val="20"/>
                                <w:szCs w:val="20"/>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DF7B71F" id="_x0000_s1032" type="#_x0000_t202" style="position:absolute;left:0;text-align:left;margin-left:424.5pt;margin-top:93.7pt;width:25.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rxQQIAAIQEAAAOAAAAZHJzL2Uyb0RvYy54bWysVEtv2zAMvg/YfxB0X51n1xlxiixFhgFB&#10;WyAdelZkKRYmi5qkxM5+/SjZeazbaVgOCilSJL+PpGf3ba3JQTivwBR0eDOgRBgOpTK7gn57WX24&#10;o8QHZkqmwYiCHoWn9/P372aNzcUIKtClcASDGJ83tqBVCDbPMs8rUTN/A1YYNEpwNQuoul1WOtZg&#10;9Fpno8HgNmvAldYBF97j7UNnpPMUX0rBw5OUXgSiC4q1hXS6dG7jmc1nLN85ZivF+zLYP1RRM2Uw&#10;6TnUAwuM7J36I1StuAMPMtxwqDOQUnGRMCCa4eANmk3FrEhYkBxvzzT5/xeWPx429tmR0H6GFhuY&#10;QHi7Bv7dIzdZY33e+0ROfe7ROwJtpavjP0Ig+BC5PZ75FG0gHC/Ho/HdFC0cTSgOR9PId3Z5bJ0P&#10;XwTUJAoFddiuVAA7rH3oXE8uMZcHrcqV0jopR7/UjhwYdhYHooSGEs18wMuCrtKvz/bbM21IU9Db&#10;MdYVoxiI8bpU2vSAO4wRbWi3LVElPoix4s0WyiPy5aAbJW/5SmHxa8z8zBzODuLFfQhPeEgNmAt6&#10;iZIK3M+/3Ud/bClaKWlwFgvqf+yZEwjoq8FmfxpOJnF4kzKZfhyh4q4t22uL2ddLQFKGuHmWJzH6&#10;B30SpYP6FddmEbOiiRmOuQsaTuIydBuCa8fFYpGccFwtC2uzsfw0JrE1L+0rc7bvX8DGP8Jpaln+&#10;po2db8f6Yh9AqtTjC6s9/TjqaUr6tYy7dK0nr8vHY/4LAAD//wMAUEsDBBQABgAIAAAAIQD0rso/&#10;4gAAAAsBAAAPAAAAZHJzL2Rvd25yZXYueG1sTI/BTsMwEETvSPyDtUjcqE0UQRLiVAiBoBJRIa3E&#10;1U2WJBDbke02oV/f5QTHnRnNvsmXsx7YAZ3vrZFwvRDA0NS26U0rYbt5ukqA+aBMowZrUMIPelgW&#10;52e5yho7mXc8VKFlVGJ8piR0IYwZ577uUCu/sCMa8j6t0yrQ6VreODVRuR54JMQN16o39KFTIz50&#10;WH9Xey3hY6qe3Xq1+nobX8rj+liVr/hYSnl5Md/fAQs4h78w/OITOhTEtLN703g2SEjilLYEMpLb&#10;GBglUiFI2UmIojgFXuT8/4biBAAA//8DAFBLAQItABQABgAIAAAAIQC2gziS/gAAAOEBAAATAAAA&#10;AAAAAAAAAAAAAAAAAABbQ29udGVudF9UeXBlc10ueG1sUEsBAi0AFAAGAAgAAAAhADj9If/WAAAA&#10;lAEAAAsAAAAAAAAAAAAAAAAALwEAAF9yZWxzLy5yZWxzUEsBAi0AFAAGAAgAAAAhALHOivFBAgAA&#10;hAQAAA4AAAAAAAAAAAAAAAAALgIAAGRycy9lMm9Eb2MueG1sUEsBAi0AFAAGAAgAAAAhAPSuyj/i&#10;AAAACwEAAA8AAAAAAAAAAAAAAAAAmwQAAGRycy9kb3ducmV2LnhtbFBLBQYAAAAABAAEAPMAAACq&#10;BQAAAAA=&#10;" fillcolor="window" stroked="f" strokeweight=".5pt">
                <v:textbox>
                  <w:txbxContent>
                    <w:p w14:paraId="25E95A0F" w14:textId="1B931C2B" w:rsidR="00827A67" w:rsidRPr="00C83E52" w:rsidRDefault="00827A67" w:rsidP="00827A67">
                      <w:pPr>
                        <w:jc w:val="center"/>
                        <w:rPr>
                          <w:sz w:val="20"/>
                          <w:szCs w:val="20"/>
                          <w:lang w:val="en-US"/>
                        </w:rPr>
                      </w:pPr>
                      <w:r w:rsidRPr="00C83E52">
                        <w:rPr>
                          <w:sz w:val="20"/>
                          <w:szCs w:val="20"/>
                          <w:lang w:val="en-US"/>
                        </w:rPr>
                        <w:t>1</w:t>
                      </w:r>
                      <w:r>
                        <w:rPr>
                          <w:sz w:val="20"/>
                          <w:szCs w:val="20"/>
                          <w:lang w:val="en-US"/>
                        </w:rPr>
                        <w:t>6</w:t>
                      </w:r>
                    </w:p>
                  </w:txbxContent>
                </v:textbox>
              </v:shape>
            </w:pict>
          </mc:Fallback>
        </mc:AlternateContent>
      </w:r>
      <w:r w:rsidR="00E878B7" w:rsidRPr="009A604E">
        <w:rPr>
          <w:sz w:val="22"/>
          <w:szCs w:val="22"/>
          <w:lang w:val="id-ID"/>
        </w:rPr>
        <w:t>The findings from this study open several avenues for future research. One potential direction is to explore how the experiences of senior executives are influenced by different organizational cultures or geographic regions. Future studies could compare the experiences of executives in different industries or in small versus large corporations to determine whether the observed patterns hold across various contexts</w:t>
      </w:r>
      <w:r w:rsidR="00AD746E" w:rsidRPr="009A604E">
        <w:rPr>
          <w:sz w:val="22"/>
          <w:szCs w:val="22"/>
          <w:lang w:val="id-ID"/>
        </w:rPr>
        <w:t xml:space="preserve"> </w:t>
      </w:r>
      <w:r w:rsidR="00AD746E" w:rsidRPr="009A604E">
        <w:rPr>
          <w:sz w:val="22"/>
          <w:szCs w:val="22"/>
          <w:lang w:val="id-ID"/>
        </w:rPr>
        <w:fldChar w:fldCharType="begin"/>
      </w:r>
      <w:r w:rsidR="00AD746E" w:rsidRPr="009A604E">
        <w:rPr>
          <w:sz w:val="22"/>
          <w:szCs w:val="22"/>
          <w:lang w:val="id-ID"/>
        </w:rPr>
        <w:instrText xml:space="preserve"> ADDIN ZOTERO_ITEM CSL_CITATION {"citationID":"M9CLzlAU","properties":{"formattedCitation":"(De Masi dkk., 2021)","plainCitation":"(De Masi dkk., 2021)","noteIndex":0},"citationItems":[{"id":19572,"uris":["http://zotero.org/users/11749608/items/JRXZXU59"],"itemData":{"id":19572,"type":"article-journal","abstract":"Boards of directors have recently become more attentive to their stakeholders' concerns, providing more transparent information and adopting more sustainable business strategies. This study investigates the influence of a critical mass of women on boards on the environmental, social, and governance (ESG) disclosure score and its three components separately. Using a sample of the FTSE-MIB listed companies in the 2005–2017 period, we show that reaching a critical mass of female board members—going from one or two women to at least three—enhances the level of ESG disclosure. The results also show that the critical mass of female board members has a positive influence on every component of the ESG score, with the highest contribution of women reaching the governance score. These findings provide insights to shareholders and policymakers and suggest that a critical mass of female board members is particularly effective in improving transparency, and it can be seen as a mechanism to transit to stakeholder governance, fostering more sustainable behavior in firms. © 2021 ERP Environment and John Wiley &amp; Sons Ltd.","archive":"Scopus","container-title":"Business Strategy and the Environment","DOI":"10.1002/bse.2721","issue":"4","note":"publisher: John Wiley and Sons Ltd","page":"1865-1878","title":"Toward sustainable corporate behavior: The effect of the critical mass of female directors on environmental, social, and governance disclosure","volume":"30","author":[{"family":"De Masi","given":"S."},{"family":"Słomka-Gołębiowska","given":"A."},{"family":"Becagli","given":"C."},{"family":"Paci","given":"A."}],"issued":{"date-parts":[["2021"]]}}}],"schema":"https://github.com/citation-style-language/schema/raw/master/csl-citation.json"} </w:instrText>
      </w:r>
      <w:r w:rsidR="00AD746E" w:rsidRPr="009A604E">
        <w:rPr>
          <w:sz w:val="22"/>
          <w:szCs w:val="22"/>
          <w:lang w:val="id-ID"/>
        </w:rPr>
        <w:fldChar w:fldCharType="separate"/>
      </w:r>
      <w:r w:rsidR="00AD746E" w:rsidRPr="009A604E">
        <w:rPr>
          <w:sz w:val="22"/>
        </w:rPr>
        <w:t>(De Masi dkk., 2021)</w:t>
      </w:r>
      <w:r w:rsidR="00AD746E" w:rsidRPr="009A604E">
        <w:rPr>
          <w:sz w:val="22"/>
          <w:szCs w:val="22"/>
          <w:lang w:val="id-ID"/>
        </w:rPr>
        <w:fldChar w:fldCharType="end"/>
      </w:r>
      <w:r w:rsidR="00E878B7" w:rsidRPr="009A604E">
        <w:rPr>
          <w:sz w:val="22"/>
          <w:szCs w:val="22"/>
          <w:lang w:val="id-ID"/>
        </w:rPr>
        <w:t xml:space="preserve">. Another promising avenue is to examine the experiences of other key stakeholders, such as middle managers or employees, to see how their </w:t>
      </w:r>
      <w:r w:rsidR="00E878B7" w:rsidRPr="009A604E">
        <w:rPr>
          <w:sz w:val="22"/>
          <w:szCs w:val="22"/>
          <w:lang w:val="id-ID"/>
        </w:rPr>
        <w:lastRenderedPageBreak/>
        <w:t>perceptions of corporate governance and sustainability align or contrast with those of senior leaders. Additionally, further research could investigate how personal values and ethical considerations evolve over time and how they are impacted by shifts in corporate strategy or global challenges, such as climate change or social movements. Expanding the scope of phenomenological research in this area could provide a richer understanding of how personal and organizational dynamics shape sustainable business practices.</w:t>
      </w:r>
    </w:p>
    <w:p w14:paraId="0D90EB39" w14:textId="77777777" w:rsidR="006967B4" w:rsidRPr="009A604E" w:rsidRDefault="006967B4">
      <w:pPr>
        <w:rPr>
          <w:sz w:val="22"/>
          <w:szCs w:val="22"/>
          <w:lang w:val="id-ID"/>
        </w:rPr>
      </w:pPr>
    </w:p>
    <w:p w14:paraId="0B9CA953" w14:textId="77777777" w:rsidR="006967B4" w:rsidRPr="009A604E" w:rsidRDefault="00AB5012">
      <w:pPr>
        <w:spacing w:after="120"/>
        <w:jc w:val="left"/>
        <w:rPr>
          <w:b/>
          <w:sz w:val="22"/>
          <w:szCs w:val="22"/>
          <w:lang w:val="id-ID"/>
        </w:rPr>
      </w:pPr>
      <w:r w:rsidRPr="009A604E">
        <w:rPr>
          <w:b/>
          <w:sz w:val="22"/>
          <w:szCs w:val="22"/>
        </w:rPr>
        <w:t xml:space="preserve">CONCLUSION </w:t>
      </w:r>
    </w:p>
    <w:p w14:paraId="30136293" w14:textId="6DA9EB4B" w:rsidR="00C667AF" w:rsidRPr="009A604E" w:rsidRDefault="00E878B7" w:rsidP="00C667AF">
      <w:pPr>
        <w:spacing w:after="120"/>
        <w:ind w:firstLine="720"/>
        <w:rPr>
          <w:sz w:val="22"/>
          <w:szCs w:val="22"/>
        </w:rPr>
      </w:pPr>
      <w:r w:rsidRPr="009A604E">
        <w:rPr>
          <w:sz w:val="22"/>
          <w:szCs w:val="22"/>
        </w:rPr>
        <w:t xml:space="preserve">This study focused on exploring the lived experiences of senior executives in shaping corporate governance practices, with a particular emphasis on the personal and ethical factors influencing their decision-making. The findings revealed that executives' personal values and reflections significantly impact their corporate strategies, particularly in the context of sustainability and ethical leadership. </w:t>
      </w:r>
      <w:r w:rsidR="00C667AF" w:rsidRPr="009A604E">
        <w:rPr>
          <w:sz w:val="22"/>
          <w:szCs w:val="22"/>
        </w:rPr>
        <w:t>From a theoretical standpoint, this research enriches the existing body of literature by bridging the gap between abstract governance frameworks and the subjective, human-</w:t>
      </w:r>
      <w:proofErr w:type="spellStart"/>
      <w:r w:rsidR="00C667AF" w:rsidRPr="009A604E">
        <w:rPr>
          <w:sz w:val="22"/>
          <w:szCs w:val="22"/>
        </w:rPr>
        <w:t>centered</w:t>
      </w:r>
      <w:proofErr w:type="spellEnd"/>
      <w:r w:rsidR="00C667AF" w:rsidRPr="009A604E">
        <w:rPr>
          <w:sz w:val="22"/>
          <w:szCs w:val="22"/>
        </w:rPr>
        <w:t xml:space="preserve"> dimensions of leadership. While traditional models like agency theory and stakeholder theory provide structural and procedural insights, this study highlights how personal ethics and values serve as pivotal drivers in shaping governance practices. This integration of subjective experiences adds depth to governance theories, suggesting a more holistic framework that accounts for both structural imperatives and individual dynamics.</w:t>
      </w:r>
    </w:p>
    <w:p w14:paraId="141890CC" w14:textId="7490C22E" w:rsidR="006967B4" w:rsidRPr="009A604E" w:rsidRDefault="00C667AF" w:rsidP="00C667AF">
      <w:pPr>
        <w:spacing w:after="120"/>
        <w:ind w:firstLine="720"/>
        <w:rPr>
          <w:sz w:val="22"/>
          <w:szCs w:val="22"/>
        </w:rPr>
      </w:pPr>
      <w:r w:rsidRPr="009A604E">
        <w:rPr>
          <w:sz w:val="22"/>
          <w:szCs w:val="22"/>
        </w:rPr>
        <w:t xml:space="preserve">Practically, the findings offer actionable guidance for organizations aiming to embed ethical leadership within their governance structures. By demonstrating how personal values and ethical reflections influence decision-making, the study underscores the importance of fostering a culture of ethical awareness and accountability at the leadership level. Organizations can leverage these insights to develop leadership development programs, ethical training modules, and decision-making frameworks that align corporate strategies with sustainability goals. Additionally, these findings highlight the need for governance policies that are adaptable to the personal and cultural contexts of executives, particularly in multinational </w:t>
      </w:r>
      <w:proofErr w:type="spellStart"/>
      <w:r w:rsidRPr="009A604E">
        <w:rPr>
          <w:sz w:val="22"/>
          <w:szCs w:val="22"/>
        </w:rPr>
        <w:t>settings.</w:t>
      </w:r>
      <w:r w:rsidR="00E878B7" w:rsidRPr="009A604E">
        <w:rPr>
          <w:sz w:val="22"/>
          <w:szCs w:val="22"/>
        </w:rPr>
        <w:t>By</w:t>
      </w:r>
      <w:proofErr w:type="spellEnd"/>
      <w:r w:rsidR="00E878B7" w:rsidRPr="009A604E">
        <w:rPr>
          <w:sz w:val="22"/>
          <w:szCs w:val="22"/>
        </w:rPr>
        <w:t xml:space="preserve"> using a phenomenological </w:t>
      </w:r>
      <w:proofErr w:type="gramStart"/>
      <w:r w:rsidR="00E878B7" w:rsidRPr="009A604E">
        <w:rPr>
          <w:sz w:val="22"/>
          <w:szCs w:val="22"/>
        </w:rPr>
        <w:t>approach,</w:t>
      </w:r>
      <w:proofErr w:type="gramEnd"/>
      <w:r w:rsidR="00E878B7" w:rsidRPr="009A604E">
        <w:rPr>
          <w:sz w:val="22"/>
          <w:szCs w:val="22"/>
        </w:rPr>
        <w:t xml:space="preserve"> the study addresses the gap in capturing the subjective, experiential dimensions of governance, offering a more comprehensive perspective. </w:t>
      </w:r>
      <w:r w:rsidRPr="009A604E">
        <w:rPr>
          <w:sz w:val="22"/>
          <w:szCs w:val="22"/>
        </w:rPr>
        <w:t xml:space="preserve">This methodological contribution emphasizes the value of qualitative approaches in unpacking the complexities of corporate governance, encouraging future research to adopt similar frameworks for exploring the interplay between human experiences and organizational </w:t>
      </w:r>
      <w:proofErr w:type="spellStart"/>
      <w:r w:rsidRPr="009A604E">
        <w:rPr>
          <w:sz w:val="22"/>
          <w:szCs w:val="22"/>
        </w:rPr>
        <w:t>practices.</w:t>
      </w:r>
      <w:r w:rsidR="00E878B7" w:rsidRPr="009A604E">
        <w:rPr>
          <w:sz w:val="22"/>
          <w:szCs w:val="22"/>
        </w:rPr>
        <w:t>These</w:t>
      </w:r>
      <w:proofErr w:type="spellEnd"/>
      <w:r w:rsidR="00E878B7" w:rsidRPr="009A604E">
        <w:rPr>
          <w:sz w:val="22"/>
          <w:szCs w:val="22"/>
        </w:rPr>
        <w:t xml:space="preserve"> insights are relevant for organizations seeking to integrate ethical leadership into their governance frameworks and may inform practices that align corporate strategies with sustainability goals. Future research could expand this study by examining how the experiences of executives differ across industries and regions, and how these insights can be applied to broader organizational contexts.</w:t>
      </w:r>
    </w:p>
    <w:p w14:paraId="0D77AC11" w14:textId="77777777" w:rsidR="006967B4" w:rsidRPr="009A604E" w:rsidRDefault="006967B4">
      <w:pPr>
        <w:spacing w:after="120"/>
        <w:rPr>
          <w:b/>
          <w:sz w:val="22"/>
          <w:szCs w:val="22"/>
        </w:rPr>
      </w:pPr>
    </w:p>
    <w:p w14:paraId="4310C65E" w14:textId="77777777" w:rsidR="006967B4" w:rsidRPr="009A604E" w:rsidRDefault="006504D9">
      <w:pPr>
        <w:spacing w:after="120"/>
        <w:rPr>
          <w:b/>
          <w:sz w:val="22"/>
          <w:szCs w:val="22"/>
        </w:rPr>
      </w:pPr>
      <w:r w:rsidRPr="009A604E">
        <w:rPr>
          <w:b/>
          <w:sz w:val="22"/>
          <w:szCs w:val="22"/>
        </w:rPr>
        <w:t>CONFLICT OF INTEREST</w:t>
      </w:r>
    </w:p>
    <w:p w14:paraId="3670545C" w14:textId="75AC62ED" w:rsidR="006967B4" w:rsidRPr="00827A67" w:rsidRDefault="00E878B7" w:rsidP="00827A67">
      <w:pPr>
        <w:spacing w:after="120"/>
        <w:ind w:firstLine="720"/>
        <w:rPr>
          <w:sz w:val="22"/>
          <w:szCs w:val="22"/>
        </w:rPr>
      </w:pPr>
      <w:r w:rsidRPr="009A604E">
        <w:rPr>
          <w:sz w:val="22"/>
          <w:szCs w:val="22"/>
        </w:rPr>
        <w:t>The authors declare that there is no conflict of interest.</w:t>
      </w:r>
    </w:p>
    <w:p w14:paraId="0E612ADC" w14:textId="67F21D98" w:rsidR="00AD746E" w:rsidRPr="009A604E" w:rsidRDefault="00AD746E">
      <w:pPr>
        <w:spacing w:after="120" w:line="276" w:lineRule="auto"/>
        <w:rPr>
          <w:b/>
          <w:sz w:val="22"/>
          <w:szCs w:val="22"/>
          <w:lang w:val="id-ID"/>
        </w:rPr>
      </w:pPr>
    </w:p>
    <w:p w14:paraId="40B600CE" w14:textId="77777777" w:rsidR="006967B4" w:rsidRPr="009A604E" w:rsidRDefault="00AD746E">
      <w:pPr>
        <w:spacing w:after="120" w:line="276" w:lineRule="auto"/>
        <w:rPr>
          <w:b/>
          <w:sz w:val="22"/>
          <w:szCs w:val="22"/>
          <w:lang w:val="id-ID"/>
        </w:rPr>
      </w:pPr>
      <w:r w:rsidRPr="009A604E">
        <w:rPr>
          <w:b/>
          <w:sz w:val="22"/>
          <w:szCs w:val="22"/>
        </w:rPr>
        <w:t xml:space="preserve">REFERENCES </w:t>
      </w:r>
    </w:p>
    <w:p w14:paraId="2149B23C" w14:textId="184A1C16" w:rsidR="00AD746E" w:rsidRPr="009A604E" w:rsidRDefault="00AD746E" w:rsidP="00AD746E">
      <w:pPr>
        <w:pStyle w:val="Bibliography"/>
        <w:spacing w:line="276" w:lineRule="auto"/>
        <w:rPr>
          <w:sz w:val="22"/>
        </w:rPr>
      </w:pPr>
      <w:r w:rsidRPr="009A604E">
        <w:rPr>
          <w:sz w:val="22"/>
          <w:szCs w:val="22"/>
        </w:rPr>
        <w:fldChar w:fldCharType="begin"/>
      </w:r>
      <w:r w:rsidRPr="009A604E">
        <w:rPr>
          <w:sz w:val="22"/>
          <w:szCs w:val="22"/>
        </w:rPr>
        <w:instrText xml:space="preserve"> ADDIN ZOTERO_BIBL {"uncited":[],"omitted":[],"custom":[]} CSL_BIBLIOGRAPHY </w:instrText>
      </w:r>
      <w:r w:rsidRPr="009A604E">
        <w:rPr>
          <w:sz w:val="22"/>
          <w:szCs w:val="22"/>
        </w:rPr>
        <w:fldChar w:fldCharType="separate"/>
      </w:r>
      <w:r w:rsidR="00381D98" w:rsidRPr="009A604E">
        <w:t xml:space="preserve"> </w:t>
      </w:r>
      <w:r w:rsidR="00381D98" w:rsidRPr="009A604E">
        <w:rPr>
          <w:sz w:val="22"/>
        </w:rPr>
        <w:t>Adu, D. A., Al-Najjar, B., &amp; Sitthipongpanich, T. (2022).</w:t>
      </w:r>
      <w:r w:rsidRPr="009A604E">
        <w:rPr>
          <w:sz w:val="22"/>
        </w:rPr>
        <w:t xml:space="preserve">. Executive compensation, environmental performance, and sustainable banking: The moderating effect of governance mechanisms. </w:t>
      </w:r>
      <w:r w:rsidRPr="009A604E">
        <w:rPr>
          <w:i/>
          <w:iCs/>
          <w:sz w:val="22"/>
        </w:rPr>
        <w:t>Business Strategy and the Environment</w:t>
      </w:r>
      <w:r w:rsidRPr="009A604E">
        <w:rPr>
          <w:sz w:val="22"/>
        </w:rPr>
        <w:t xml:space="preserve">, </w:t>
      </w:r>
      <w:r w:rsidRPr="009A604E">
        <w:rPr>
          <w:i/>
          <w:iCs/>
          <w:sz w:val="22"/>
        </w:rPr>
        <w:t>31</w:t>
      </w:r>
      <w:r w:rsidRPr="009A604E">
        <w:rPr>
          <w:sz w:val="22"/>
        </w:rPr>
        <w:t>(4), 1439–1463. Scopus. https://doi.org/10.1002/bse.2963</w:t>
      </w:r>
    </w:p>
    <w:p w14:paraId="234761A5" w14:textId="4E66519F" w:rsidR="00AD746E" w:rsidRPr="009A604E" w:rsidRDefault="00827A67" w:rsidP="00AD746E">
      <w:pPr>
        <w:pStyle w:val="Bibliography"/>
        <w:spacing w:line="276" w:lineRule="auto"/>
        <w:rPr>
          <w:sz w:val="22"/>
        </w:rPr>
      </w:pPr>
      <w:r>
        <w:rPr>
          <w:noProof/>
          <w:lang w:val="id-ID"/>
        </w:rPr>
        <mc:AlternateContent>
          <mc:Choice Requires="wps">
            <w:drawing>
              <wp:anchor distT="0" distB="0" distL="114300" distR="114300" simplePos="0" relativeHeight="251660800" behindDoc="0" locked="0" layoutInCell="1" allowOverlap="1" wp14:anchorId="37CEACE0" wp14:editId="3E663A4F">
                <wp:simplePos x="0" y="0"/>
                <wp:positionH relativeFrom="column">
                  <wp:posOffset>5362575</wp:posOffset>
                </wp:positionH>
                <wp:positionV relativeFrom="paragraph">
                  <wp:posOffset>977265</wp:posOffset>
                </wp:positionV>
                <wp:extent cx="323850" cy="238125"/>
                <wp:effectExtent l="0" t="0" r="0" b="9525"/>
                <wp:wrapNone/>
                <wp:docPr id="1967258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38125"/>
                        </a:xfrm>
                        <a:prstGeom prst="rect">
                          <a:avLst/>
                        </a:prstGeom>
                        <a:solidFill>
                          <a:sysClr val="window" lastClr="FFFFFF"/>
                        </a:solidFill>
                        <a:ln w="6350">
                          <a:noFill/>
                        </a:ln>
                      </wps:spPr>
                      <wps:txbx>
                        <w:txbxContent>
                          <w:p w14:paraId="715C1EF9" w14:textId="6E840BEB" w:rsidR="00827A67" w:rsidRPr="00C83E52" w:rsidRDefault="00827A67" w:rsidP="00827A67">
                            <w:pPr>
                              <w:jc w:val="center"/>
                              <w:rPr>
                                <w:sz w:val="20"/>
                                <w:szCs w:val="20"/>
                                <w:lang w:val="en-US"/>
                              </w:rPr>
                            </w:pPr>
                            <w:r w:rsidRPr="00C83E52">
                              <w:rPr>
                                <w:sz w:val="20"/>
                                <w:szCs w:val="20"/>
                                <w:lang w:val="en-US"/>
                              </w:rPr>
                              <w:t>1</w:t>
                            </w:r>
                            <w:r>
                              <w:rPr>
                                <w:sz w:val="20"/>
                                <w:szCs w:val="20"/>
                                <w:lang w:val="en-U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7CEACE0" id="_x0000_s1033" type="#_x0000_t202" style="position:absolute;left:0;text-align:left;margin-left:422.25pt;margin-top:76.95pt;width:25.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UkQgIAAIQEAAAOAAAAZHJzL2Uyb0RvYy54bWysVEtv2zAMvg/YfxB0X5xnH0acIkuRYUDQ&#10;FkiHnhVZSoTJoiYpsbNfP0p2Hut2GpaDQooUye8j6elDU2lyEM4rMAUd9PqUCMOhVGZb0G+vy093&#10;lPjATMk0GFHQo/D0Yfbxw7S2uRjCDnQpHMEgxue1LeguBJtnmec7UTHfAysMGiW4igVU3TYrHasx&#10;eqWzYb9/k9XgSuuAC+/x9rE10lmKL6Xg4VlKLwLRBcXaQjpdOjfxzGZTlm8dszvFuzLYP1RRMWUw&#10;6TnUIwuM7J36I1SluAMPMvQ4VBlIqbhIGBDNoP8OzXrHrEhYkBxvzzT5/xeWPx3W9sWR0HyGBhuY&#10;QHi7Av7dIzdZbX3e+UROfe7ROwJtpKviP0Ig+BC5PZ75FE0gHC9Hw9HdBC0cTSgOhpPId3Z5bJ0P&#10;XwRUJAoFddiuVAA7rHxoXU8uMZcHrcql0jopR7/QjhwYdhYHooSaEs18wMuCLtOvy/bbM21IXdCb&#10;EdYVoxiI8dpU2nSAW4wRbWg2DVFlQW9jrHizgfKIfDloR8lbvlRY/AozvzCHs4N4cR/CMx5SA+aC&#10;TqJkB+7n3+6jP7YUrZTUOIsF9T/2zAkE9NVgs+8H43Ec3qSMJ7dDVNy1ZXNtMftqAUjKADfP8iRG&#10;/6BPonRQveHazGNWNDHDMXdBw0lchHZDcO24mM+TE46rZWFl1pafxiS25rV5Y852/QvY+Cc4TS3L&#10;37Wx9W1Zn+8DSJV6fGG1ox9HPU1Jt5Zxl6715HX5eMx+AQAA//8DAFBLAwQUAAYACAAAACEAk47v&#10;E+IAAAALAQAADwAAAGRycy9kb3ducmV2LnhtbEyPwU7DMBBE70j8g7VI3KhTSFAS4lQIgaBSo0JA&#10;4urGSxKI7ch2m9CvZznBcWeeZmeK1awHdkDne2sELBcRMDSNVb1pBby9PlykwHyQRsnBGhTwjR5W&#10;5elJIXNlJ/OChzq0jEKMz6WALoQx59w3HWrpF3ZEQ96HdVoGOl3LlZMTheuBX0bRNdeyN/ShkyPe&#10;ddh81Xst4H2qH912vf58Hp+q4/ZYVxu8r4Q4P5tvb4AFnMMfDL/1qTqU1Gln90Z5NghI4zghlIzk&#10;KgNGRJolpOxIyZYx8LLg/zeUPwAAAP//AwBQSwECLQAUAAYACAAAACEAtoM4kv4AAADhAQAAEwAA&#10;AAAAAAAAAAAAAAAAAAAAW0NvbnRlbnRfVHlwZXNdLnhtbFBLAQItABQABgAIAAAAIQA4/SH/1gAA&#10;AJQBAAALAAAAAAAAAAAAAAAAAC8BAABfcmVscy8ucmVsc1BLAQItABQABgAIAAAAIQDOfMUkQgIA&#10;AIQEAAAOAAAAAAAAAAAAAAAAAC4CAABkcnMvZTJvRG9jLnhtbFBLAQItABQABgAIAAAAIQCTju8T&#10;4gAAAAsBAAAPAAAAAAAAAAAAAAAAAJwEAABkcnMvZG93bnJldi54bWxQSwUGAAAAAAQABADzAAAA&#10;qwUAAAAA&#10;" fillcolor="window" stroked="f" strokeweight=".5pt">
                <v:textbox>
                  <w:txbxContent>
                    <w:p w14:paraId="715C1EF9" w14:textId="6E840BEB" w:rsidR="00827A67" w:rsidRPr="00C83E52" w:rsidRDefault="00827A67" w:rsidP="00827A67">
                      <w:pPr>
                        <w:jc w:val="center"/>
                        <w:rPr>
                          <w:sz w:val="20"/>
                          <w:szCs w:val="20"/>
                          <w:lang w:val="en-US"/>
                        </w:rPr>
                      </w:pPr>
                      <w:r w:rsidRPr="00C83E52">
                        <w:rPr>
                          <w:sz w:val="20"/>
                          <w:szCs w:val="20"/>
                          <w:lang w:val="en-US"/>
                        </w:rPr>
                        <w:t>1</w:t>
                      </w:r>
                      <w:r>
                        <w:rPr>
                          <w:sz w:val="20"/>
                          <w:szCs w:val="20"/>
                          <w:lang w:val="en-US"/>
                        </w:rPr>
                        <w:t>7</w:t>
                      </w:r>
                    </w:p>
                  </w:txbxContent>
                </v:textbox>
              </v:shape>
            </w:pict>
          </mc:Fallback>
        </mc:AlternateContent>
      </w:r>
      <w:r w:rsidR="00AD746E" w:rsidRPr="009A604E">
        <w:rPr>
          <w:sz w:val="22"/>
        </w:rPr>
        <w:t xml:space="preserve">Alkaraan, F., Elmarzouky, M., Hussainey, K., Venkatesh, V. G., Shi, Y., &amp; Gulko, N. (2024). Reinforcing green business strategies with Industry 4.0 and governance towards sustainability: Natural-resource-based view and dynamic capability. </w:t>
      </w:r>
      <w:r w:rsidR="00AD746E" w:rsidRPr="009A604E">
        <w:rPr>
          <w:i/>
          <w:iCs/>
          <w:sz w:val="22"/>
        </w:rPr>
        <w:t>Business Strategy and the Environment</w:t>
      </w:r>
      <w:r w:rsidR="00AD746E" w:rsidRPr="009A604E">
        <w:rPr>
          <w:sz w:val="22"/>
        </w:rPr>
        <w:t xml:space="preserve">, </w:t>
      </w:r>
      <w:r w:rsidR="00AD746E" w:rsidRPr="009A604E">
        <w:rPr>
          <w:i/>
          <w:iCs/>
          <w:sz w:val="22"/>
        </w:rPr>
        <w:t>33</w:t>
      </w:r>
      <w:r w:rsidR="00AD746E" w:rsidRPr="009A604E">
        <w:rPr>
          <w:sz w:val="22"/>
        </w:rPr>
        <w:t>(4), 3588–3606. Scopus. https://doi.org/10.1002/bse.3665</w:t>
      </w:r>
    </w:p>
    <w:p w14:paraId="0479B31D" w14:textId="77777777" w:rsidR="00AD746E" w:rsidRPr="009A604E" w:rsidRDefault="00AD746E" w:rsidP="00AD746E">
      <w:pPr>
        <w:pStyle w:val="Bibliography"/>
        <w:spacing w:line="276" w:lineRule="auto"/>
        <w:rPr>
          <w:sz w:val="22"/>
        </w:rPr>
      </w:pPr>
      <w:r w:rsidRPr="009A604E">
        <w:rPr>
          <w:sz w:val="22"/>
        </w:rPr>
        <w:lastRenderedPageBreak/>
        <w:t xml:space="preserve">Bhatti, A., Rehman, S. U., &amp; Rumman, J. B. A. (2020). Organizational capabilities mediates between organizational culture, entrepreneurial orientation, and organizational performance of smes in pakistan. </w:t>
      </w:r>
      <w:r w:rsidRPr="009A604E">
        <w:rPr>
          <w:i/>
          <w:iCs/>
          <w:sz w:val="22"/>
        </w:rPr>
        <w:t>Entrepreneurial Business and Economics Review</w:t>
      </w:r>
      <w:r w:rsidRPr="009A604E">
        <w:rPr>
          <w:sz w:val="22"/>
        </w:rPr>
        <w:t xml:space="preserve">, </w:t>
      </w:r>
      <w:r w:rsidRPr="009A604E">
        <w:rPr>
          <w:i/>
          <w:iCs/>
          <w:sz w:val="22"/>
        </w:rPr>
        <w:t>8</w:t>
      </w:r>
      <w:r w:rsidRPr="009A604E">
        <w:rPr>
          <w:sz w:val="22"/>
        </w:rPr>
        <w:t>(4), 85–103. Scopus. https://doi.org/10.15678/EBER.2020.080405</w:t>
      </w:r>
    </w:p>
    <w:p w14:paraId="4BD90D8A" w14:textId="77777777" w:rsidR="00AD746E" w:rsidRPr="009A604E" w:rsidRDefault="00AD746E" w:rsidP="00AD746E">
      <w:pPr>
        <w:pStyle w:val="Bibliography"/>
        <w:spacing w:line="276" w:lineRule="auto"/>
        <w:rPr>
          <w:sz w:val="22"/>
        </w:rPr>
      </w:pPr>
      <w:r w:rsidRPr="009A604E">
        <w:rPr>
          <w:sz w:val="22"/>
        </w:rPr>
        <w:t xml:space="preserve">Chevrollier, N., Zhang, J., van Leeuwen, T., &amp; Nijhof, A. (2020). The predictive value of strategic orientation for ESG performance over time. </w:t>
      </w:r>
      <w:r w:rsidRPr="009A604E">
        <w:rPr>
          <w:i/>
          <w:iCs/>
          <w:sz w:val="22"/>
        </w:rPr>
        <w:t>Corporate Governance (Bingley)</w:t>
      </w:r>
      <w:r w:rsidRPr="009A604E">
        <w:rPr>
          <w:sz w:val="22"/>
        </w:rPr>
        <w:t xml:space="preserve">, </w:t>
      </w:r>
      <w:r w:rsidRPr="009A604E">
        <w:rPr>
          <w:i/>
          <w:iCs/>
          <w:sz w:val="22"/>
        </w:rPr>
        <w:t>20</w:t>
      </w:r>
      <w:r w:rsidRPr="009A604E">
        <w:rPr>
          <w:sz w:val="22"/>
        </w:rPr>
        <w:t>(1), 123–142. Scopus. https://doi.org/10.1108/CG-03-2019-0105</w:t>
      </w:r>
    </w:p>
    <w:p w14:paraId="60E95533" w14:textId="067D7BB2" w:rsidR="00AD746E" w:rsidRPr="009A604E" w:rsidRDefault="00381D98" w:rsidP="00AD746E">
      <w:pPr>
        <w:pStyle w:val="Bibliography"/>
        <w:spacing w:line="276" w:lineRule="auto"/>
        <w:rPr>
          <w:sz w:val="22"/>
        </w:rPr>
      </w:pPr>
      <w:r w:rsidRPr="00827A67">
        <w:rPr>
          <w:sz w:val="22"/>
          <w:lang w:val="en-US"/>
        </w:rPr>
        <w:t xml:space="preserve">De Masi, S., Słomka-Gołębiowska, A., et al. </w:t>
      </w:r>
      <w:r w:rsidRPr="009A604E">
        <w:rPr>
          <w:sz w:val="22"/>
        </w:rPr>
        <w:t>(2021).</w:t>
      </w:r>
      <w:r w:rsidR="00AD746E" w:rsidRPr="009A604E">
        <w:rPr>
          <w:sz w:val="22"/>
        </w:rPr>
        <w:t xml:space="preserve"> Toward sustainable corporate behavior: The effect of the critical mass of female directors on environmental, social, and governance disclosure. </w:t>
      </w:r>
      <w:r w:rsidR="00AD746E" w:rsidRPr="009A604E">
        <w:rPr>
          <w:i/>
          <w:iCs/>
          <w:sz w:val="22"/>
        </w:rPr>
        <w:t>Business Strategy and the Environment</w:t>
      </w:r>
      <w:r w:rsidR="00AD746E" w:rsidRPr="009A604E">
        <w:rPr>
          <w:sz w:val="22"/>
        </w:rPr>
        <w:t xml:space="preserve">, </w:t>
      </w:r>
      <w:r w:rsidR="00AD746E" w:rsidRPr="009A604E">
        <w:rPr>
          <w:i/>
          <w:iCs/>
          <w:sz w:val="22"/>
        </w:rPr>
        <w:t>30</w:t>
      </w:r>
      <w:r w:rsidR="00AD746E" w:rsidRPr="009A604E">
        <w:rPr>
          <w:sz w:val="22"/>
        </w:rPr>
        <w:t>(4), 1865–1878. Scopus. https://doi.org/10.1002/bse.2721</w:t>
      </w:r>
    </w:p>
    <w:p w14:paraId="72767F35" w14:textId="77777777" w:rsidR="00AD746E" w:rsidRPr="009A604E" w:rsidRDefault="00AD746E" w:rsidP="00AD746E">
      <w:pPr>
        <w:pStyle w:val="Bibliography"/>
        <w:spacing w:line="276" w:lineRule="auto"/>
        <w:rPr>
          <w:sz w:val="22"/>
        </w:rPr>
      </w:pPr>
      <w:r w:rsidRPr="009A604E">
        <w:rPr>
          <w:sz w:val="22"/>
        </w:rPr>
        <w:t xml:space="preserve">Galletta, S., Mazzù, S., &amp; Naciti, V. (2021). Banks’ business strategy and environmental effectiveness: The monitoring role of the board of directors and the managerial incentives. </w:t>
      </w:r>
      <w:r w:rsidRPr="009A604E">
        <w:rPr>
          <w:i/>
          <w:iCs/>
          <w:sz w:val="22"/>
        </w:rPr>
        <w:t>Business Strategy and the Environment</w:t>
      </w:r>
      <w:r w:rsidRPr="009A604E">
        <w:rPr>
          <w:sz w:val="22"/>
        </w:rPr>
        <w:t xml:space="preserve">, </w:t>
      </w:r>
      <w:r w:rsidRPr="009A604E">
        <w:rPr>
          <w:i/>
          <w:iCs/>
          <w:sz w:val="22"/>
        </w:rPr>
        <w:t>30</w:t>
      </w:r>
      <w:r w:rsidRPr="009A604E">
        <w:rPr>
          <w:sz w:val="22"/>
        </w:rPr>
        <w:t>(5), 2656–2670. Scopus. https://doi.org/10.1002/bse.2769</w:t>
      </w:r>
    </w:p>
    <w:p w14:paraId="46FB13DB" w14:textId="77777777" w:rsidR="00AD746E" w:rsidRPr="009A604E" w:rsidRDefault="00AD746E" w:rsidP="00AD746E">
      <w:pPr>
        <w:pStyle w:val="Bibliography"/>
        <w:spacing w:line="276" w:lineRule="auto"/>
        <w:rPr>
          <w:sz w:val="22"/>
        </w:rPr>
      </w:pPr>
      <w:r w:rsidRPr="009A604E">
        <w:rPr>
          <w:sz w:val="22"/>
        </w:rPr>
        <w:t xml:space="preserve">Hu, K.-H., Hsu, M.-F., Chen, F.-H., &amp; Liu, M.-Z. (2021). Identifying the key factors of subsidiary supervision and management using an innovative hybrid architecture in a big data environment. </w:t>
      </w:r>
      <w:r w:rsidRPr="009A604E">
        <w:rPr>
          <w:i/>
          <w:iCs/>
          <w:sz w:val="22"/>
        </w:rPr>
        <w:t>Financial Innovation</w:t>
      </w:r>
      <w:r w:rsidRPr="009A604E">
        <w:rPr>
          <w:sz w:val="22"/>
        </w:rPr>
        <w:t xml:space="preserve">, </w:t>
      </w:r>
      <w:r w:rsidRPr="009A604E">
        <w:rPr>
          <w:i/>
          <w:iCs/>
          <w:sz w:val="22"/>
        </w:rPr>
        <w:t>7</w:t>
      </w:r>
      <w:r w:rsidRPr="009A604E">
        <w:rPr>
          <w:sz w:val="22"/>
        </w:rPr>
        <w:t>(1). Scopus. https://doi.org/10.1186/s40854-020-00219-9</w:t>
      </w:r>
    </w:p>
    <w:p w14:paraId="29359F49" w14:textId="77777777" w:rsidR="00AD746E" w:rsidRPr="009A604E" w:rsidRDefault="00AD746E" w:rsidP="00AD746E">
      <w:pPr>
        <w:pStyle w:val="Bibliography"/>
        <w:spacing w:line="276" w:lineRule="auto"/>
        <w:rPr>
          <w:sz w:val="22"/>
        </w:rPr>
      </w:pPr>
      <w:r w:rsidRPr="009A604E">
        <w:rPr>
          <w:sz w:val="22"/>
        </w:rPr>
        <w:t xml:space="preserve">Martinez-Sanchez, A., Vicente-Oliva, S., &amp; Pérez-Pérez, M. (2020). The strategy of human resource flexibility versus absorptive capacity of knowledge: An integrative framework in industrial firms. </w:t>
      </w:r>
      <w:r w:rsidRPr="009A604E">
        <w:rPr>
          <w:i/>
          <w:iCs/>
          <w:sz w:val="22"/>
        </w:rPr>
        <w:t>European Journal of Innovation Management</w:t>
      </w:r>
      <w:r w:rsidRPr="009A604E">
        <w:rPr>
          <w:sz w:val="22"/>
        </w:rPr>
        <w:t xml:space="preserve">, </w:t>
      </w:r>
      <w:r w:rsidRPr="009A604E">
        <w:rPr>
          <w:i/>
          <w:iCs/>
          <w:sz w:val="22"/>
        </w:rPr>
        <w:t>24</w:t>
      </w:r>
      <w:r w:rsidRPr="009A604E">
        <w:rPr>
          <w:sz w:val="22"/>
        </w:rPr>
        <w:t>(2), 315–337. Scopus. https://doi.org/10.1108/EJIM-10-2019-0314</w:t>
      </w:r>
    </w:p>
    <w:p w14:paraId="092C8E7C" w14:textId="77777777" w:rsidR="00AD746E" w:rsidRPr="009A604E" w:rsidRDefault="00AD746E" w:rsidP="00AD746E">
      <w:pPr>
        <w:pStyle w:val="Bibliography"/>
        <w:spacing w:line="276" w:lineRule="auto"/>
        <w:rPr>
          <w:sz w:val="22"/>
        </w:rPr>
      </w:pPr>
      <w:r w:rsidRPr="009A604E">
        <w:rPr>
          <w:sz w:val="22"/>
          <w:lang w:val="da-DK"/>
        </w:rPr>
        <w:t xml:space="preserve">Mas-Tur, A., Kraus, S., Brandtner, M., Ewert, R., &amp; Kürsten, W. (2020). </w:t>
      </w:r>
      <w:r w:rsidRPr="009A604E">
        <w:rPr>
          <w:sz w:val="22"/>
        </w:rPr>
        <w:t xml:space="preserve">Advances in management research: A bibliometric overview of the Review of Managerial Science. </w:t>
      </w:r>
      <w:r w:rsidRPr="009A604E">
        <w:rPr>
          <w:i/>
          <w:iCs/>
          <w:sz w:val="22"/>
        </w:rPr>
        <w:t>Review of Managerial Science</w:t>
      </w:r>
      <w:r w:rsidRPr="009A604E">
        <w:rPr>
          <w:sz w:val="22"/>
        </w:rPr>
        <w:t xml:space="preserve">, </w:t>
      </w:r>
      <w:r w:rsidRPr="009A604E">
        <w:rPr>
          <w:i/>
          <w:iCs/>
          <w:sz w:val="22"/>
        </w:rPr>
        <w:t>14</w:t>
      </w:r>
      <w:r w:rsidRPr="009A604E">
        <w:rPr>
          <w:sz w:val="22"/>
        </w:rPr>
        <w:t>(5), 933–958. Scopus. https://doi.org/10.1007/s11846-020-00406-z</w:t>
      </w:r>
    </w:p>
    <w:p w14:paraId="0D62F228" w14:textId="77777777" w:rsidR="00AD746E" w:rsidRPr="009A604E" w:rsidRDefault="00AD746E" w:rsidP="00AD746E">
      <w:pPr>
        <w:pStyle w:val="Bibliography"/>
        <w:spacing w:line="276" w:lineRule="auto"/>
        <w:rPr>
          <w:sz w:val="22"/>
        </w:rPr>
      </w:pPr>
      <w:r w:rsidRPr="009A604E">
        <w:rPr>
          <w:sz w:val="22"/>
        </w:rPr>
        <w:t xml:space="preserve">Mattera, M., &amp; Soto, F. (2023). Dodging the bullet: Overcoming the financial impact of Ukraine armed conflict with sustainable business strategies and environmental approaches. </w:t>
      </w:r>
      <w:r w:rsidRPr="009A604E">
        <w:rPr>
          <w:i/>
          <w:iCs/>
          <w:sz w:val="22"/>
        </w:rPr>
        <w:t>Journal of Risk Finance</w:t>
      </w:r>
      <w:r w:rsidRPr="009A604E">
        <w:rPr>
          <w:sz w:val="22"/>
        </w:rPr>
        <w:t xml:space="preserve">, </w:t>
      </w:r>
      <w:r w:rsidRPr="009A604E">
        <w:rPr>
          <w:i/>
          <w:iCs/>
          <w:sz w:val="22"/>
        </w:rPr>
        <w:t>24</w:t>
      </w:r>
      <w:r w:rsidRPr="009A604E">
        <w:rPr>
          <w:sz w:val="22"/>
        </w:rPr>
        <w:t>(1), 122–142. Scopus. https://doi.org/10.1108/JRF-04-2022-0092</w:t>
      </w:r>
    </w:p>
    <w:p w14:paraId="27F0AA78" w14:textId="77777777" w:rsidR="00AD746E" w:rsidRPr="009A604E" w:rsidRDefault="00AD746E" w:rsidP="00AD746E">
      <w:pPr>
        <w:pStyle w:val="Bibliography"/>
        <w:spacing w:line="276" w:lineRule="auto"/>
        <w:rPr>
          <w:sz w:val="22"/>
        </w:rPr>
      </w:pPr>
      <w:r w:rsidRPr="009A604E">
        <w:rPr>
          <w:sz w:val="22"/>
        </w:rPr>
        <w:t xml:space="preserve">Mattera, M., Soto Gonzalez, F., Alba Ruiz-Morales, C., &amp; Gava, L. (2020). Facing a global crisis—How sustainable business models helped firms overcome COVID. </w:t>
      </w:r>
      <w:r w:rsidRPr="009A604E">
        <w:rPr>
          <w:i/>
          <w:iCs/>
          <w:sz w:val="22"/>
        </w:rPr>
        <w:t>Corporate Governance (Bingley)</w:t>
      </w:r>
      <w:r w:rsidRPr="009A604E">
        <w:rPr>
          <w:sz w:val="22"/>
        </w:rPr>
        <w:t xml:space="preserve">, </w:t>
      </w:r>
      <w:r w:rsidRPr="009A604E">
        <w:rPr>
          <w:i/>
          <w:iCs/>
          <w:sz w:val="22"/>
        </w:rPr>
        <w:t>21</w:t>
      </w:r>
      <w:r w:rsidRPr="009A604E">
        <w:rPr>
          <w:sz w:val="22"/>
        </w:rPr>
        <w:t>(6), 1100–1116. Scopus. https://doi.org/10.1108/CG-07-2020-0309</w:t>
      </w:r>
    </w:p>
    <w:p w14:paraId="56C89170" w14:textId="77777777" w:rsidR="00AD746E" w:rsidRPr="009A604E" w:rsidRDefault="00AD746E" w:rsidP="00AD746E">
      <w:pPr>
        <w:pStyle w:val="Bibliography"/>
        <w:spacing w:line="276" w:lineRule="auto"/>
        <w:rPr>
          <w:sz w:val="22"/>
        </w:rPr>
      </w:pPr>
      <w:r w:rsidRPr="009A604E">
        <w:rPr>
          <w:sz w:val="22"/>
        </w:rPr>
        <w:t xml:space="preserve">Nguyen, T., &amp; Zhao, J. (2021). Industry tournament incentives and corporate innovation. </w:t>
      </w:r>
      <w:r w:rsidRPr="009A604E">
        <w:rPr>
          <w:i/>
          <w:iCs/>
          <w:sz w:val="22"/>
        </w:rPr>
        <w:t>Journal of Business Finance and Accounting</w:t>
      </w:r>
      <w:r w:rsidRPr="009A604E">
        <w:rPr>
          <w:sz w:val="22"/>
        </w:rPr>
        <w:t xml:space="preserve">, </w:t>
      </w:r>
      <w:r w:rsidRPr="009A604E">
        <w:rPr>
          <w:i/>
          <w:iCs/>
          <w:sz w:val="22"/>
        </w:rPr>
        <w:t>48</w:t>
      </w:r>
      <w:r w:rsidRPr="009A604E">
        <w:rPr>
          <w:sz w:val="22"/>
        </w:rPr>
        <w:t>(9–10), 1797–1845. Scopus. https://doi.org/10.1111/jbfa.12549</w:t>
      </w:r>
    </w:p>
    <w:p w14:paraId="67805957" w14:textId="77777777" w:rsidR="00AD746E" w:rsidRPr="009A604E" w:rsidRDefault="00AD746E" w:rsidP="00AD746E">
      <w:pPr>
        <w:pStyle w:val="Bibliography"/>
        <w:spacing w:line="276" w:lineRule="auto"/>
        <w:rPr>
          <w:sz w:val="22"/>
        </w:rPr>
      </w:pPr>
      <w:r w:rsidRPr="009A604E">
        <w:rPr>
          <w:sz w:val="22"/>
        </w:rPr>
        <w:t xml:space="preserve">Oyewo, B., Tawiah, V., &amp; Hussain, S. T. (2023). Drivers of environmental and social sustainability accounting practices in Nigeria: A corporate governance perspective. </w:t>
      </w:r>
      <w:r w:rsidRPr="009A604E">
        <w:rPr>
          <w:i/>
          <w:iCs/>
          <w:sz w:val="22"/>
        </w:rPr>
        <w:t>Corporate Governance (Bingley)</w:t>
      </w:r>
      <w:r w:rsidRPr="009A604E">
        <w:rPr>
          <w:sz w:val="22"/>
        </w:rPr>
        <w:t xml:space="preserve">, </w:t>
      </w:r>
      <w:r w:rsidRPr="009A604E">
        <w:rPr>
          <w:i/>
          <w:iCs/>
          <w:sz w:val="22"/>
        </w:rPr>
        <w:t>23</w:t>
      </w:r>
      <w:r w:rsidRPr="009A604E">
        <w:rPr>
          <w:sz w:val="22"/>
        </w:rPr>
        <w:t>(2), 397–421. Scopus. https://doi.org/10.1108/CG-09-2021-0336</w:t>
      </w:r>
    </w:p>
    <w:p w14:paraId="41F04EC6" w14:textId="77777777" w:rsidR="00AD746E" w:rsidRPr="009A604E" w:rsidRDefault="00AD746E" w:rsidP="00AD746E">
      <w:pPr>
        <w:pStyle w:val="Bibliography"/>
        <w:spacing w:line="276" w:lineRule="auto"/>
        <w:rPr>
          <w:sz w:val="22"/>
        </w:rPr>
      </w:pPr>
      <w:r w:rsidRPr="009A604E">
        <w:rPr>
          <w:sz w:val="22"/>
        </w:rPr>
        <w:t xml:space="preserve">Pasko, O., Chen, F., Kuts, T., Sharko, I., &amp; Ryzhikova, N. (2022). Sustainability reporting nexus to corporate governance in scholarly literature. </w:t>
      </w:r>
      <w:r w:rsidRPr="009A604E">
        <w:rPr>
          <w:i/>
          <w:iCs/>
          <w:sz w:val="22"/>
        </w:rPr>
        <w:t>Environmental Economics</w:t>
      </w:r>
      <w:r w:rsidRPr="009A604E">
        <w:rPr>
          <w:sz w:val="22"/>
        </w:rPr>
        <w:t xml:space="preserve">, </w:t>
      </w:r>
      <w:r w:rsidRPr="009A604E">
        <w:rPr>
          <w:i/>
          <w:iCs/>
          <w:sz w:val="22"/>
        </w:rPr>
        <w:t>13</w:t>
      </w:r>
      <w:r w:rsidRPr="009A604E">
        <w:rPr>
          <w:sz w:val="22"/>
        </w:rPr>
        <w:t>(1), 61–78. Scopus. https://doi.org/10.21511/ee.13(1).2022.06</w:t>
      </w:r>
    </w:p>
    <w:p w14:paraId="3B0AD88C" w14:textId="77777777" w:rsidR="00AD746E" w:rsidRPr="009A604E" w:rsidRDefault="00AD746E" w:rsidP="00AD746E">
      <w:pPr>
        <w:pStyle w:val="Bibliography"/>
        <w:spacing w:line="276" w:lineRule="auto"/>
        <w:rPr>
          <w:sz w:val="22"/>
        </w:rPr>
      </w:pPr>
      <w:r w:rsidRPr="009A604E">
        <w:rPr>
          <w:sz w:val="22"/>
        </w:rPr>
        <w:t xml:space="preserve">Sewpersadh, N. S. (2019). An examination of CEO power with board vigilance as a catalyst for firm growth in South Africa. </w:t>
      </w:r>
      <w:r w:rsidRPr="009A604E">
        <w:rPr>
          <w:i/>
          <w:iCs/>
          <w:sz w:val="22"/>
        </w:rPr>
        <w:t>Measuring Business Excellence</w:t>
      </w:r>
      <w:r w:rsidRPr="009A604E">
        <w:rPr>
          <w:sz w:val="22"/>
        </w:rPr>
        <w:t xml:space="preserve">, </w:t>
      </w:r>
      <w:r w:rsidRPr="009A604E">
        <w:rPr>
          <w:i/>
          <w:iCs/>
          <w:sz w:val="22"/>
        </w:rPr>
        <w:t>23</w:t>
      </w:r>
      <w:r w:rsidRPr="009A604E">
        <w:rPr>
          <w:sz w:val="22"/>
        </w:rPr>
        <w:t>(4), 377–395. Scopus. https://doi.org/10.1108/MBE-10-2018-0083</w:t>
      </w:r>
    </w:p>
    <w:p w14:paraId="2A224BCD" w14:textId="30EFE77E" w:rsidR="00AD746E" w:rsidRPr="009A604E" w:rsidRDefault="00827A67" w:rsidP="00AD746E">
      <w:pPr>
        <w:pStyle w:val="Bibliography"/>
        <w:spacing w:line="276" w:lineRule="auto"/>
        <w:rPr>
          <w:sz w:val="22"/>
        </w:rPr>
      </w:pPr>
      <w:r>
        <w:rPr>
          <w:noProof/>
          <w:lang w:val="id-ID"/>
        </w:rPr>
        <mc:AlternateContent>
          <mc:Choice Requires="wps">
            <w:drawing>
              <wp:anchor distT="0" distB="0" distL="114300" distR="114300" simplePos="0" relativeHeight="251663872" behindDoc="0" locked="0" layoutInCell="1" allowOverlap="1" wp14:anchorId="7E90A543" wp14:editId="0AE05BCA">
                <wp:simplePos x="0" y="0"/>
                <wp:positionH relativeFrom="column">
                  <wp:posOffset>5391150</wp:posOffset>
                </wp:positionH>
                <wp:positionV relativeFrom="paragraph">
                  <wp:posOffset>913765</wp:posOffset>
                </wp:positionV>
                <wp:extent cx="323850" cy="238125"/>
                <wp:effectExtent l="0" t="0" r="0" b="9525"/>
                <wp:wrapNone/>
                <wp:docPr id="1041007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38125"/>
                        </a:xfrm>
                        <a:prstGeom prst="rect">
                          <a:avLst/>
                        </a:prstGeom>
                        <a:solidFill>
                          <a:sysClr val="window" lastClr="FFFFFF"/>
                        </a:solidFill>
                        <a:ln w="6350">
                          <a:noFill/>
                        </a:ln>
                      </wps:spPr>
                      <wps:txbx>
                        <w:txbxContent>
                          <w:p w14:paraId="5ACA30F4" w14:textId="6BA2E398" w:rsidR="00827A67" w:rsidRPr="00C83E52" w:rsidRDefault="00827A67" w:rsidP="00827A67">
                            <w:pPr>
                              <w:jc w:val="center"/>
                              <w:rPr>
                                <w:sz w:val="20"/>
                                <w:szCs w:val="20"/>
                                <w:lang w:val="en-US"/>
                              </w:rPr>
                            </w:pPr>
                            <w:r w:rsidRPr="00C83E52">
                              <w:rPr>
                                <w:sz w:val="20"/>
                                <w:szCs w:val="20"/>
                                <w:lang w:val="en-US"/>
                              </w:rPr>
                              <w:t>1</w:t>
                            </w:r>
                            <w:r>
                              <w:rPr>
                                <w:sz w:val="20"/>
                                <w:szCs w:val="20"/>
                                <w:lang w:val="en-US"/>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E90A543" id="_x0000_s1034" type="#_x0000_t202" style="position:absolute;left:0;text-align:left;margin-left:424.5pt;margin-top:71.95pt;width:25.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B/QgIAAIQEAAAOAAAAZHJzL2Uyb0RvYy54bWysVEtv2zAMvg/YfxB0X5xnlxlxiixFhgFB&#10;WyAdelZkKREmi5qkxM5+/SjZeazbaVgOCilSJL+PpGf3TaXJUTivwBR00OtTIgyHUpldQb+9rD5M&#10;KfGBmZJpMKKgJ+Hp/fz9u1ltczGEPehSOIJBjM9rW9B9CDbPMs/3omK+B1YYNEpwFQuoul1WOlZj&#10;9Epnw37/LqvBldYBF97j7UNrpPMUX0rBw5OUXgSiC4q1hXS6dG7jmc1nLN85ZveKd2Wwf6iiYspg&#10;0kuoBxYYOTj1R6hKcQceZOhxqDKQUnGRMCCaQf8Nms2eWZGwIDneXmjy/y8sfzxu7LMjofkMDTYw&#10;gfB2Dfy7R26y2vq884mc+tyjdwTaSFfFf4RA8CFye7rwKZpAOF6OhqPpBC0cTSgOhpPId3Z9bJ0P&#10;XwRUJAoFddiuVAA7rn1oXc8uMZcHrcqV0jopJ7/UjhwZdhYHooSaEs18wMuCrtKvy/bbM21IXdC7&#10;EdYVoxiI8dpU2nSAW4wRbWi2DVFlQacxVrzZQnlCvhy0o+QtXyksfo2Zn5nD2UG8uA/hCQ+pAXNB&#10;J1GyB/fzb/fRH1uKVkpqnMWC+h8H5gQC+mqw2Z8G43Ec3qSMJx+HqLhby/bWYg7VEpCUAW6e5UmM&#10;/kGfRemgesW1WcSsaGKGY+6ChrO4DO2G4NpxsVgkJxxXy8LabCw/j0lszUvzypzt+hew8Y9wnlqW&#10;v2lj69uyvjgEkCr1+MpqRz+OepqSbi3jLt3qyev68Zj/AgAA//8DAFBLAwQUAAYACAAAACEAZCUe&#10;SuEAAAALAQAADwAAAGRycy9kb3ducmV2LnhtbEyPwU7DMBBE70j8g7VI3KhdiFAS4lQIgaASUSEg&#10;cXXjJQnEdmS7TejXdznBcWdGs2+K1WwGtkcfemclLBcCGNrG6d62Et7fHi5SYCEqq9XgLEr4wQCr&#10;8vSkULl2k33FfR1bRiU25EpCF+OYcx6aDo0KCzeiJe/TeaMinb7l2quJys3AL4W45kb1lj50asS7&#10;DpvvemckfEz1o9+s118v41N12Bzq6hnvKynPz+bbG2AR5/gXhl98QoeSmLZuZ3Vgg4Q0yWhLJCO5&#10;yoBRIhOClC0p6TIBXhb8/4byCAAA//8DAFBLAQItABQABgAIAAAAIQC2gziS/gAAAOEBAAATAAAA&#10;AAAAAAAAAAAAAAAAAABbQ29udGVudF9UeXBlc10ueG1sUEsBAi0AFAAGAAgAAAAhADj9If/WAAAA&#10;lAEAAAsAAAAAAAAAAAAAAAAALwEAAF9yZWxzLy5yZWxzUEsBAi0AFAAGAAgAAAAhAM3lcH9CAgAA&#10;hAQAAA4AAAAAAAAAAAAAAAAALgIAAGRycy9lMm9Eb2MueG1sUEsBAi0AFAAGAAgAAAAhAGQlHkrh&#10;AAAACwEAAA8AAAAAAAAAAAAAAAAAnAQAAGRycy9kb3ducmV2LnhtbFBLBQYAAAAABAAEAPMAAACq&#10;BQAAAAA=&#10;" fillcolor="window" stroked="f" strokeweight=".5pt">
                <v:textbox>
                  <w:txbxContent>
                    <w:p w14:paraId="5ACA30F4" w14:textId="6BA2E398" w:rsidR="00827A67" w:rsidRPr="00C83E52" w:rsidRDefault="00827A67" w:rsidP="00827A67">
                      <w:pPr>
                        <w:jc w:val="center"/>
                        <w:rPr>
                          <w:sz w:val="20"/>
                          <w:szCs w:val="20"/>
                          <w:lang w:val="en-US"/>
                        </w:rPr>
                      </w:pPr>
                      <w:r w:rsidRPr="00C83E52">
                        <w:rPr>
                          <w:sz w:val="20"/>
                          <w:szCs w:val="20"/>
                          <w:lang w:val="en-US"/>
                        </w:rPr>
                        <w:t>1</w:t>
                      </w:r>
                      <w:r>
                        <w:rPr>
                          <w:sz w:val="20"/>
                          <w:szCs w:val="20"/>
                          <w:lang w:val="en-US"/>
                        </w:rPr>
                        <w:t>8</w:t>
                      </w:r>
                    </w:p>
                  </w:txbxContent>
                </v:textbox>
              </v:shape>
            </w:pict>
          </mc:Fallback>
        </mc:AlternateContent>
      </w:r>
      <w:r w:rsidR="00AD746E" w:rsidRPr="009A604E">
        <w:rPr>
          <w:sz w:val="22"/>
        </w:rPr>
        <w:t xml:space="preserve">Tan, J., Chan, K. C., &amp; Chen, Y. (2022). The impact of air pollution on the cost of debt financing: Evidence from the bond market. </w:t>
      </w:r>
      <w:r w:rsidR="00AD746E" w:rsidRPr="009A604E">
        <w:rPr>
          <w:i/>
          <w:iCs/>
          <w:sz w:val="22"/>
        </w:rPr>
        <w:t>Business Strategy and the Environment</w:t>
      </w:r>
      <w:r w:rsidR="00AD746E" w:rsidRPr="009A604E">
        <w:rPr>
          <w:sz w:val="22"/>
        </w:rPr>
        <w:t xml:space="preserve">, </w:t>
      </w:r>
      <w:r w:rsidR="00AD746E" w:rsidRPr="009A604E">
        <w:rPr>
          <w:i/>
          <w:iCs/>
          <w:sz w:val="22"/>
        </w:rPr>
        <w:t>31</w:t>
      </w:r>
      <w:r w:rsidR="00AD746E" w:rsidRPr="009A604E">
        <w:rPr>
          <w:sz w:val="22"/>
        </w:rPr>
        <w:t>(1), 464–482. Scopus. https://doi.org/10.1002/bse.2904</w:t>
      </w:r>
    </w:p>
    <w:p w14:paraId="00C2C241" w14:textId="16FF06C0" w:rsidR="00AD746E" w:rsidRPr="009A604E" w:rsidRDefault="00381D98" w:rsidP="00AD746E">
      <w:pPr>
        <w:pStyle w:val="Bibliography"/>
        <w:spacing w:line="276" w:lineRule="auto"/>
        <w:rPr>
          <w:sz w:val="22"/>
        </w:rPr>
      </w:pPr>
      <w:r w:rsidRPr="009A604E">
        <w:rPr>
          <w:sz w:val="22"/>
        </w:rPr>
        <w:lastRenderedPageBreak/>
        <w:t>Tanthanongsakkun, S., Treepongkaruna, S., &amp; Jiraporn, P. (2023).</w:t>
      </w:r>
      <w:r w:rsidR="00AD746E" w:rsidRPr="009A604E">
        <w:rPr>
          <w:sz w:val="22"/>
        </w:rPr>
        <w:t xml:space="preserve"> Carbon emissions, corporate governance, and staggered boards. </w:t>
      </w:r>
      <w:r w:rsidR="00AD746E" w:rsidRPr="009A604E">
        <w:rPr>
          <w:i/>
          <w:iCs/>
          <w:sz w:val="22"/>
        </w:rPr>
        <w:t>Business Strategy and the Environment</w:t>
      </w:r>
      <w:r w:rsidR="00AD746E" w:rsidRPr="009A604E">
        <w:rPr>
          <w:sz w:val="22"/>
        </w:rPr>
        <w:t xml:space="preserve">, </w:t>
      </w:r>
      <w:r w:rsidR="00AD746E" w:rsidRPr="009A604E">
        <w:rPr>
          <w:i/>
          <w:iCs/>
          <w:sz w:val="22"/>
        </w:rPr>
        <w:t>32</w:t>
      </w:r>
      <w:r w:rsidR="00AD746E" w:rsidRPr="009A604E">
        <w:rPr>
          <w:sz w:val="22"/>
        </w:rPr>
        <w:t>(1), 769–780. Scopus. https://doi.org/10.1002/bse.3174</w:t>
      </w:r>
    </w:p>
    <w:p w14:paraId="4AA2F5BA" w14:textId="77777777" w:rsidR="00AD746E" w:rsidRPr="009A604E" w:rsidRDefault="00AD746E" w:rsidP="00AD746E">
      <w:pPr>
        <w:pStyle w:val="Bibliography"/>
        <w:spacing w:line="276" w:lineRule="auto"/>
        <w:rPr>
          <w:sz w:val="22"/>
        </w:rPr>
      </w:pPr>
      <w:r w:rsidRPr="009A604E">
        <w:rPr>
          <w:sz w:val="22"/>
        </w:rPr>
        <w:t xml:space="preserve">Virakul, B., &amp; Russ-Eft, D. F. (2020). A model for business responses to global challenges and sustainable development. </w:t>
      </w:r>
      <w:r w:rsidRPr="009A604E">
        <w:rPr>
          <w:i/>
          <w:iCs/>
          <w:sz w:val="22"/>
        </w:rPr>
        <w:t>Social Responsibility Journal</w:t>
      </w:r>
      <w:r w:rsidRPr="009A604E">
        <w:rPr>
          <w:sz w:val="22"/>
        </w:rPr>
        <w:t xml:space="preserve">, </w:t>
      </w:r>
      <w:r w:rsidRPr="009A604E">
        <w:rPr>
          <w:i/>
          <w:iCs/>
          <w:sz w:val="22"/>
        </w:rPr>
        <w:t>16</w:t>
      </w:r>
      <w:r w:rsidRPr="009A604E">
        <w:rPr>
          <w:sz w:val="22"/>
        </w:rPr>
        <w:t>(2), 199–224. Scopus. https://doi.org/10.1108/SRJ-09-2018-0223</w:t>
      </w:r>
    </w:p>
    <w:p w14:paraId="68B9D0A9" w14:textId="0715D544" w:rsidR="006967B4" w:rsidRPr="006C4BF7" w:rsidRDefault="00827A67" w:rsidP="00AD746E">
      <w:pPr>
        <w:spacing w:line="276" w:lineRule="auto"/>
        <w:rPr>
          <w:sz w:val="22"/>
          <w:szCs w:val="22"/>
        </w:rPr>
      </w:pPr>
      <w:r>
        <w:rPr>
          <w:noProof/>
          <w:lang w:val="id-ID"/>
        </w:rPr>
        <mc:AlternateContent>
          <mc:Choice Requires="wps">
            <w:drawing>
              <wp:anchor distT="0" distB="0" distL="114300" distR="114300" simplePos="0" relativeHeight="251666944" behindDoc="0" locked="0" layoutInCell="1" allowOverlap="1" wp14:anchorId="5536E46B" wp14:editId="4966EBA4">
                <wp:simplePos x="0" y="0"/>
                <wp:positionH relativeFrom="column">
                  <wp:posOffset>5448300</wp:posOffset>
                </wp:positionH>
                <wp:positionV relativeFrom="paragraph">
                  <wp:posOffset>7933690</wp:posOffset>
                </wp:positionV>
                <wp:extent cx="323850" cy="238125"/>
                <wp:effectExtent l="0" t="0" r="0" b="9525"/>
                <wp:wrapNone/>
                <wp:docPr id="779647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38125"/>
                        </a:xfrm>
                        <a:prstGeom prst="rect">
                          <a:avLst/>
                        </a:prstGeom>
                        <a:solidFill>
                          <a:sysClr val="window" lastClr="FFFFFF"/>
                        </a:solidFill>
                        <a:ln w="6350">
                          <a:noFill/>
                        </a:ln>
                      </wps:spPr>
                      <wps:txbx>
                        <w:txbxContent>
                          <w:p w14:paraId="6302294A" w14:textId="795EC8F6" w:rsidR="00827A67" w:rsidRPr="00C83E52" w:rsidRDefault="00827A67" w:rsidP="00827A67">
                            <w:pPr>
                              <w:jc w:val="center"/>
                              <w:rPr>
                                <w:sz w:val="20"/>
                                <w:szCs w:val="20"/>
                                <w:lang w:val="en-US"/>
                              </w:rPr>
                            </w:pPr>
                            <w:r w:rsidRPr="00C83E52">
                              <w:rPr>
                                <w:sz w:val="20"/>
                                <w:szCs w:val="20"/>
                                <w:lang w:val="en-US"/>
                              </w:rPr>
                              <w:t>1</w:t>
                            </w:r>
                            <w:r>
                              <w:rPr>
                                <w:sz w:val="20"/>
                                <w:szCs w:val="20"/>
                                <w:lang w:val="en-US"/>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536E46B" id="_x0000_s1035" type="#_x0000_t202" style="position:absolute;left:0;text-align:left;margin-left:429pt;margin-top:624.7pt;width:25.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qQgIAAIQEAAAOAAAAZHJzL2Uyb0RvYy54bWysVEtv2zAMvg/YfxB0X5xn1xpxiixFhgFB&#10;WyAtelZkKREmi5qkxM5+/SjZeazbaVgOCilSJL+PpKf3TaXJQTivwBR00OtTIgyHUpltQV9flp9u&#10;KfGBmZJpMKKgR+Hp/ezjh2ltczGEHehSOIJBjM9rW9BdCDbPMs93omK+B1YYNEpwFQuoum1WOlZj&#10;9Epnw37/JqvBldYBF97j7UNrpLMUX0rBw5OUXgSiC4q1hXS6dG7imc2mLN86ZneKd2Wwf6iiYspg&#10;0nOoBxYY2Tv1R6hKcQceZOhxqDKQUnGRMCCaQf8dmvWOWZGwIDnenmny/y8sfzys7bMjofkCDTYw&#10;gfB2Bfy7R26y2vq884mc+tyjdwTaSFfFf4RA8CFyezzzKZpAOF6OhqPbCVo4mlAcDCeR7+zy2Dof&#10;vgqoSBQK6rBdqQB2WPnQup5cYi4PWpVLpXVSjn6hHTkw7CwORAk1JZr5gJcFXaZfl+23Z9qQuqA3&#10;I6wrRjEQ47WptOkAtxgj2tBsGqLKgt7FWPFmA+UR+XLQjpK3fKmw+BVmfmYOZwfx4j6EJzykBswF&#10;nUTJDtzPv91Hf2wpWimpcRYL6n/smRMI6JvBZt8NxuM4vEkZTz4PUXHXls21xeyrBSApA9w8y5MY&#10;/YM+idJB9YZrM49Z0cQMx9wFDSdxEdoNwbXjYj5PTjiuloWVWVt+GpPYmpfmjTnb9S9g4x/hNLUs&#10;f9fG1rdlfb4PIFXq8YXVjn4c9TQl3VrGXbrWk9fl4zH7BQAA//8DAFBLAwQUAAYACAAAACEAl+Ct&#10;F+MAAAANAQAADwAAAGRycy9kb3ducmV2LnhtbEyPQUvDQBCF74L/YRnBm91YakliNkVE0YKhGgWv&#10;22RMotnZsLttYn99pyc9znuPN9/LVpPpxR6d7ywpuJ5FIJAqW3fUKPh4f7yKQfigqda9JVTwix5W&#10;+flZptPajvSG+zI0gkvIp1pBG8KQSumrFo32MzsgsfdlndGBT9fI2umRy00v51G0lEZ3xB9aPeB9&#10;i9VPuTMKPsfyyW3W6+/X4bk4bA5l8YIPhVKXF9PdLYiAU/gLwwmf0SFnpq3dUe1FryC+iXlLYGO+&#10;SBYgOJJECUvbkxQvE5B5Jv+vyI8AAAD//wMAUEsBAi0AFAAGAAgAAAAhALaDOJL+AAAA4QEAABMA&#10;AAAAAAAAAAAAAAAAAAAAAFtDb250ZW50X1R5cGVzXS54bWxQSwECLQAUAAYACAAAACEAOP0h/9YA&#10;AACUAQAACwAAAAAAAAAAAAAAAAAvAQAAX3JlbHMvLnJlbHNQSwECLQAUAAYACAAAACEAslc/qkIC&#10;AACEBAAADgAAAAAAAAAAAAAAAAAuAgAAZHJzL2Uyb0RvYy54bWxQSwECLQAUAAYACAAAACEAl+Ct&#10;F+MAAAANAQAADwAAAAAAAAAAAAAAAACcBAAAZHJzL2Rvd25yZXYueG1sUEsFBgAAAAAEAAQA8wAA&#10;AKwFAAAAAA==&#10;" fillcolor="window" stroked="f" strokeweight=".5pt">
                <v:textbox>
                  <w:txbxContent>
                    <w:p w14:paraId="6302294A" w14:textId="795EC8F6" w:rsidR="00827A67" w:rsidRPr="00C83E52" w:rsidRDefault="00827A67" w:rsidP="00827A67">
                      <w:pPr>
                        <w:jc w:val="center"/>
                        <w:rPr>
                          <w:sz w:val="20"/>
                          <w:szCs w:val="20"/>
                          <w:lang w:val="en-US"/>
                        </w:rPr>
                      </w:pPr>
                      <w:r w:rsidRPr="00C83E52">
                        <w:rPr>
                          <w:sz w:val="20"/>
                          <w:szCs w:val="20"/>
                          <w:lang w:val="en-US"/>
                        </w:rPr>
                        <w:t>1</w:t>
                      </w:r>
                      <w:r>
                        <w:rPr>
                          <w:sz w:val="20"/>
                          <w:szCs w:val="20"/>
                          <w:lang w:val="en-US"/>
                        </w:rPr>
                        <w:t>9</w:t>
                      </w:r>
                    </w:p>
                  </w:txbxContent>
                </v:textbox>
              </v:shape>
            </w:pict>
          </mc:Fallback>
        </mc:AlternateContent>
      </w:r>
      <w:r w:rsidR="00AD746E" w:rsidRPr="009A604E">
        <w:rPr>
          <w:sz w:val="22"/>
          <w:szCs w:val="22"/>
        </w:rPr>
        <w:fldChar w:fldCharType="end"/>
      </w:r>
    </w:p>
    <w:sectPr w:rsidR="006967B4" w:rsidRPr="006C4BF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67CC0" w14:textId="77777777" w:rsidR="00031BA5" w:rsidRDefault="00031BA5">
      <w:r>
        <w:separator/>
      </w:r>
    </w:p>
  </w:endnote>
  <w:endnote w:type="continuationSeparator" w:id="0">
    <w:p w14:paraId="6CCC0E17" w14:textId="77777777" w:rsidR="00031BA5" w:rsidRDefault="0003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rdo">
    <w:altName w:val="Times New Roman"/>
    <w:charset w:val="00"/>
    <w:family w:val="auto"/>
    <w:pitch w:val="default"/>
  </w:font>
  <w:font w:name="Birch St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6FEDE" w14:textId="77777777" w:rsidR="00647641" w:rsidRDefault="006476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8B10F" w14:textId="77777777" w:rsidR="006967B4" w:rsidRDefault="006967B4">
    <w:pPr>
      <w:widowControl w:val="0"/>
      <w:jc w:val="left"/>
      <w:rPr>
        <w:sz w:val="2"/>
        <w:szCs w:val="2"/>
      </w:rPr>
    </w:pPr>
    <w:bookmarkStart w:id="1" w:name="_heading=h.30j0zll" w:colFirst="0" w:colLast="0"/>
    <w:bookmarkEnd w:id="1"/>
  </w:p>
  <w:p w14:paraId="49ED7008" w14:textId="45B262E5" w:rsidR="006967B4" w:rsidRDefault="006504D9" w:rsidP="00647641">
    <w:pPr>
      <w:tabs>
        <w:tab w:val="right" w:pos="9026"/>
      </w:tabs>
      <w:jc w:val="left"/>
      <w:rPr>
        <w:sz w:val="20"/>
        <w:szCs w:val="20"/>
      </w:rPr>
    </w:pPr>
    <w:r>
      <w:rPr>
        <w:b/>
        <w:sz w:val="20"/>
        <w:szCs w:val="20"/>
      </w:rPr>
      <w:t xml:space="preserve">Journal </w:t>
    </w:r>
    <w:proofErr w:type="gramStart"/>
    <w:r>
      <w:rPr>
        <w:b/>
        <w:sz w:val="20"/>
        <w:szCs w:val="20"/>
      </w:rPr>
      <w:t>Homepage</w:t>
    </w:r>
    <w:r>
      <w:rPr>
        <w:sz w:val="20"/>
        <w:szCs w:val="20"/>
      </w:rPr>
      <w:t xml:space="preserve"> :</w:t>
    </w:r>
    <w:proofErr w:type="gramEnd"/>
    <w:r>
      <w:rPr>
        <w:sz w:val="20"/>
        <w:szCs w:val="20"/>
      </w:rPr>
      <w:t xml:space="preserve"> </w:t>
    </w:r>
    <w:r w:rsidR="00647641" w:rsidRPr="00647641">
      <w:rPr>
        <w:sz w:val="20"/>
        <w:szCs w:val="20"/>
      </w:rPr>
      <w:t>https://journals.ai-mrc.com/jbma</w:t>
    </w:r>
  </w:p>
  <w:p w14:paraId="34EFB434" w14:textId="77777777" w:rsidR="006967B4" w:rsidRDefault="006967B4">
    <w:pPr>
      <w:tabs>
        <w:tab w:val="right" w:pos="9026"/>
      </w:tabs>
      <w:jc w:val="left"/>
      <w:rPr>
        <w:sz w:val="2"/>
        <w:szCs w:val="2"/>
      </w:rPr>
    </w:pPr>
  </w:p>
  <w:p w14:paraId="6AE10BCD" w14:textId="77777777" w:rsidR="006967B4" w:rsidRDefault="006967B4">
    <w:pPr>
      <w:widowControl w:val="0"/>
      <w:jc w:val="left"/>
      <w:rPr>
        <w:sz w:val="2"/>
        <w:szCs w:val="2"/>
      </w:rPr>
    </w:pPr>
  </w:p>
  <w:p w14:paraId="568E9A4D" w14:textId="77777777" w:rsidR="006967B4" w:rsidRDefault="006967B4">
    <w:pPr>
      <w:widowControl w:val="0"/>
      <w:jc w:val="left"/>
      <w:rPr>
        <w:sz w:val="2"/>
        <w:szCs w:val="2"/>
      </w:rPr>
    </w:pPr>
  </w:p>
  <w:p w14:paraId="37C26C4A" w14:textId="77777777" w:rsidR="006967B4" w:rsidRDefault="006967B4">
    <w:pPr>
      <w:widowControl w:val="0"/>
      <w:jc w:val="left"/>
      <w:rPr>
        <w:sz w:val="2"/>
        <w:szCs w:val="2"/>
      </w:rPr>
    </w:pPr>
  </w:p>
  <w:p w14:paraId="38C13770" w14:textId="77777777" w:rsidR="006967B4" w:rsidRDefault="006967B4">
    <w:pPr>
      <w:widowControl w:val="0"/>
      <w:jc w:val="left"/>
      <w:rPr>
        <w:sz w:val="2"/>
        <w:szCs w:val="2"/>
      </w:rPr>
    </w:pPr>
  </w:p>
  <w:p w14:paraId="67789462" w14:textId="77777777" w:rsidR="006967B4" w:rsidRDefault="006967B4">
    <w:pPr>
      <w:widowControl w:val="0"/>
      <w:jc w:val="left"/>
      <w:rPr>
        <w:sz w:val="2"/>
        <w:szCs w:val="2"/>
      </w:rPr>
    </w:pPr>
  </w:p>
  <w:p w14:paraId="17E1657F" w14:textId="77777777" w:rsidR="006967B4" w:rsidRDefault="006967B4">
    <w:pPr>
      <w:widowControl w:val="0"/>
      <w:jc w:val="lef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8E86" w14:textId="33BC1F57" w:rsidR="006967B4" w:rsidRDefault="006504D9" w:rsidP="00647641">
    <w:pPr>
      <w:tabs>
        <w:tab w:val="right" w:pos="9026"/>
      </w:tabs>
      <w:jc w:val="left"/>
      <w:rPr>
        <w:sz w:val="20"/>
        <w:szCs w:val="20"/>
      </w:rPr>
    </w:pPr>
    <w:r>
      <w:rPr>
        <w:b/>
        <w:sz w:val="20"/>
        <w:szCs w:val="20"/>
      </w:rPr>
      <w:t xml:space="preserve">Journal </w:t>
    </w:r>
    <w:proofErr w:type="gramStart"/>
    <w:r>
      <w:rPr>
        <w:b/>
        <w:sz w:val="20"/>
        <w:szCs w:val="20"/>
      </w:rPr>
      <w:t>Homepage</w:t>
    </w:r>
    <w:r>
      <w:rPr>
        <w:sz w:val="20"/>
        <w:szCs w:val="20"/>
      </w:rPr>
      <w:t xml:space="preserve"> :</w:t>
    </w:r>
    <w:proofErr w:type="gramEnd"/>
    <w:r>
      <w:rPr>
        <w:sz w:val="20"/>
        <w:szCs w:val="20"/>
      </w:rPr>
      <w:t xml:space="preserve"> </w:t>
    </w:r>
    <w:r w:rsidR="00647641" w:rsidRPr="00647641">
      <w:rPr>
        <w:sz w:val="20"/>
        <w:szCs w:val="20"/>
      </w:rPr>
      <w:t>https://journals.ai-mrc.com/jbma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A021A" w14:textId="77777777" w:rsidR="00031BA5" w:rsidRDefault="00031BA5">
      <w:r>
        <w:separator/>
      </w:r>
    </w:p>
  </w:footnote>
  <w:footnote w:type="continuationSeparator" w:id="0">
    <w:p w14:paraId="5931FA8D" w14:textId="77777777" w:rsidR="00031BA5" w:rsidRDefault="00031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E4F4A" w14:textId="77777777" w:rsidR="00647641" w:rsidRDefault="006476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97A10" w14:textId="330B848D" w:rsidR="006967B4" w:rsidRDefault="00647641">
    <w:pPr>
      <w:tabs>
        <w:tab w:val="center" w:pos="4513"/>
        <w:tab w:val="right" w:pos="9026"/>
      </w:tabs>
      <w:jc w:val="right"/>
      <w:rPr>
        <w:b/>
      </w:rPr>
    </w:pPr>
    <w:r w:rsidRPr="00647641">
      <w:rPr>
        <w:b/>
      </w:rPr>
      <w:t>Journal of Business, Management, and Accounting</w:t>
    </w:r>
  </w:p>
  <w:p w14:paraId="6D9C7BEB" w14:textId="374F12FA" w:rsidR="006967B4" w:rsidRDefault="006504D9">
    <w:pPr>
      <w:tabs>
        <w:tab w:val="center" w:pos="4513"/>
        <w:tab w:val="right" w:pos="9026"/>
      </w:tabs>
      <w:jc w:val="right"/>
      <w:rPr>
        <w:sz w:val="32"/>
        <w:szCs w:val="32"/>
      </w:rPr>
    </w:pPr>
    <w:proofErr w:type="spellStart"/>
    <w:r>
      <w:rPr>
        <w:sz w:val="20"/>
        <w:szCs w:val="20"/>
      </w:rPr>
      <w:t>Vol</w:t>
    </w:r>
    <w:proofErr w:type="spellEnd"/>
    <w:r>
      <w:rPr>
        <w:sz w:val="20"/>
        <w:szCs w:val="20"/>
      </w:rPr>
      <w:t xml:space="preserve"> </w:t>
    </w:r>
    <w:r w:rsidR="00827A67">
      <w:rPr>
        <w:sz w:val="20"/>
        <w:szCs w:val="20"/>
      </w:rPr>
      <w:t>1</w:t>
    </w:r>
    <w:r>
      <w:rPr>
        <w:sz w:val="20"/>
        <w:szCs w:val="20"/>
      </w:rPr>
      <w:t xml:space="preserve"> No </w:t>
    </w:r>
    <w:r w:rsidR="00827A67">
      <w:rPr>
        <w:sz w:val="20"/>
        <w:szCs w:val="20"/>
      </w:rPr>
      <w:t>1</w:t>
    </w:r>
    <w:r>
      <w:rPr>
        <w:sz w:val="20"/>
        <w:szCs w:val="20"/>
      </w:rPr>
      <w:t xml:space="preserve"> </w:t>
    </w:r>
    <w:proofErr w:type="spellStart"/>
    <w:r w:rsidR="00827A67">
      <w:rPr>
        <w:sz w:val="20"/>
        <w:szCs w:val="20"/>
      </w:rPr>
      <w:t>Januari</w:t>
    </w:r>
    <w:proofErr w:type="spellEnd"/>
    <w:r>
      <w:rPr>
        <w:sz w:val="20"/>
        <w:szCs w:val="20"/>
      </w:rPr>
      <w:t xml:space="preserve"> </w:t>
    </w:r>
    <w:r w:rsidR="00827A67">
      <w:rPr>
        <w:sz w:val="20"/>
        <w:szCs w:val="20"/>
      </w:rPr>
      <w:t>2025</w:t>
    </w:r>
  </w:p>
  <w:p w14:paraId="274AEAD9" w14:textId="77777777" w:rsidR="006967B4" w:rsidRDefault="006504D9">
    <w:pPr>
      <w:jc w:val="right"/>
      <w:rPr>
        <w:sz w:val="20"/>
        <w:szCs w:val="20"/>
      </w:rPr>
    </w:pPr>
    <w:r>
      <w:rPr>
        <w:noProof/>
        <w:lang w:val="id-ID"/>
      </w:rPr>
      <mc:AlternateContent>
        <mc:Choice Requires="wps">
          <w:drawing>
            <wp:anchor distT="0" distB="0" distL="114300" distR="114300" simplePos="0" relativeHeight="251658240" behindDoc="0" locked="0" layoutInCell="1" hidden="0" allowOverlap="1" wp14:anchorId="3A255388" wp14:editId="45025AAD">
              <wp:simplePos x="0" y="0"/>
              <wp:positionH relativeFrom="column">
                <wp:posOffset>12701</wp:posOffset>
              </wp:positionH>
              <wp:positionV relativeFrom="paragraph">
                <wp:posOffset>88900</wp:posOffset>
              </wp:positionV>
              <wp:extent cx="9525"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2483738" y="3775238"/>
                        <a:ext cx="5724525" cy="95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67B4C5C" id="_x0000_t32" coordsize="21600,21600" o:spt="32" o:oned="t" path="m,l21600,21600e" filled="f">
              <v:path arrowok="t" fillok="f" o:connecttype="none"/>
              <o:lock v:ext="edit" shapetype="t"/>
            </v:shapetype>
            <v:shape id="Straight Arrow Connector 22" o:spid="_x0000_s1026" type="#_x0000_t32" style="position:absolute;margin-left:1pt;margin-top:7pt;width:.7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uq0QEAAJgDAAAOAAAAZHJzL2Uyb0RvYy54bWysU02P0zAQvSPxHyzfadJ0S0vUdA8tywXB&#10;SsAPmLWdxMJf8pim/feMnbLl44CEyMEZ2zNv3sw87+7P1rCTiqi96/hyUXOmnPBSu6HjXz4/vNpy&#10;hgmcBOOd6vhFIb/fv3yxm0KrGj96I1VkBOKwnULHx5RCW1UoRmUBFz4oR5e9jxYSbeNQyQgToVtT&#10;NXX9upp8lCF6oRDp9Dhf8n3B73sl0se+R5WY6ThxS2WNZX3Ka7XfQTtECKMWVxrwDywsaEdJn6GO&#10;kIB9i/oPKKtF9Oj7tBDeVr7vtVClBqpmWf9WzacRgiq1UHMwPLcJ/x+s+HA6uMdIbZgCthgeY67i&#10;3Eeb/8SPnTve3G1XmxVN8tLx1WazbsgujVPnxAQ5rDfN3bpZcybI40226Lq64YSI6Z3ylmWj45gi&#10;6GFMB+8cTcjHZekdnN5jmgN/BGQSzj9oY0o+49h0TcAEkFx6A4my2iAJ1Q0FBr3RMofk4CIkdTCR&#10;nYAkIL8ur9R+8crpjoDj7FSu5gKtTiRPo23Ht3X+5uNRgXzrJEuXQJp2pGyeiaHlzCh6B2QUvgm0&#10;+bsfNco46tdtAtl68vJSBlPOafylo1epZn39vC/Rtwe1/w4AAP//AwBQSwMEFAAGAAgAAAAhALBc&#10;323YAAAABQEAAA8AAABkcnMvZG93bnJldi54bWxMj8FuwjAQRO+V+AdrkXorDgSiKo2DUKUeOKFC&#10;P8CJt0mEvY5iY8Lfd3tqT6vZWc2+qfazsyLhFAZPCtarDARS681AnYKvy8fLK4gQNRltPaGCBwbY&#10;14unSpfG3+kT0zl2gkMolFpBH+NYShnaHp0OKz8isfftJ6cjy6mTZtJ3DndWbrKskE4PxB96PeJ7&#10;j+31fHMKDunY5TI/pcdAW4yFTUffnJR6Xs6HNxAR5/h3DL/4jA41MzX+RiYIq2DDTSKvtzzZzncg&#10;GpZFBrKu5H/6+gcAAP//AwBQSwECLQAUAAYACAAAACEAtoM4kv4AAADhAQAAEwAAAAAAAAAAAAAA&#10;AAAAAAAAW0NvbnRlbnRfVHlwZXNdLnhtbFBLAQItABQABgAIAAAAIQA4/SH/1gAAAJQBAAALAAAA&#10;AAAAAAAAAAAAAC8BAABfcmVscy8ucmVsc1BLAQItABQABgAIAAAAIQAUmpuq0QEAAJgDAAAOAAAA&#10;AAAAAAAAAAAAAC4CAABkcnMvZTJvRG9jLnhtbFBLAQItABQABgAIAAAAIQCwXN9t2AAAAAUBAAAP&#10;AAAAAAAAAAAAAAAAACsEAABkcnMvZG93bnJldi54bWxQSwUGAAAAAAQABADzAAAAMAUAAAAA&#10;" strokecolor="black [3200]">
              <v:stroke startarrowwidth="narrow" startarrowlength="short" endarrowwidth="narrow" endarrowlength="short" joinstyle="miter"/>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08E80" w14:textId="77777777" w:rsidR="006967B4" w:rsidRDefault="006967B4">
    <w:pPr>
      <w:widowControl w:val="0"/>
      <w:pBdr>
        <w:top w:val="nil"/>
        <w:left w:val="nil"/>
        <w:bottom w:val="nil"/>
        <w:right w:val="nil"/>
        <w:between w:val="nil"/>
      </w:pBdr>
      <w:spacing w:line="276" w:lineRule="auto"/>
      <w:jc w:val="left"/>
      <w:rPr>
        <w:sz w:val="20"/>
        <w:szCs w:val="20"/>
      </w:rPr>
    </w:pPr>
    <w:bookmarkStart w:id="2" w:name="_GoBack"/>
  </w:p>
  <w:tbl>
    <w:tblPr>
      <w:tblStyle w:val="a6"/>
      <w:tblpPr w:leftFromText="180" w:rightFromText="180" w:vertAnchor="page" w:horzAnchor="margin"/>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6967B4" w14:paraId="33D8F598" w14:textId="77777777">
      <w:trPr>
        <w:trHeight w:val="1152"/>
      </w:trPr>
      <w:tc>
        <w:tcPr>
          <w:tcW w:w="9072" w:type="dxa"/>
        </w:tcPr>
        <w:p w14:paraId="14E797E6" w14:textId="66D5C288" w:rsidR="006967B4" w:rsidRDefault="00647641">
          <w:pPr>
            <w:ind w:right="1305"/>
            <w:jc w:val="center"/>
            <w:rPr>
              <w:rFonts w:ascii="Birch Std" w:eastAsia="Birch Std" w:hAnsi="Birch Std" w:cs="Birch Std"/>
              <w:b/>
              <w:sz w:val="26"/>
              <w:szCs w:val="26"/>
            </w:rPr>
          </w:pPr>
          <w:r>
            <w:rPr>
              <w:b/>
              <w:noProof/>
              <w:sz w:val="28"/>
              <w:szCs w:val="28"/>
              <w:lang w:val="id-ID"/>
            </w:rPr>
            <w:drawing>
              <wp:anchor distT="0" distB="0" distL="114300" distR="114300" simplePos="0" relativeHeight="251661312" behindDoc="0" locked="0" layoutInCell="1" allowOverlap="1" wp14:anchorId="7C32B46C" wp14:editId="4D782915">
                <wp:simplePos x="0" y="0"/>
                <wp:positionH relativeFrom="column">
                  <wp:posOffset>5210175</wp:posOffset>
                </wp:positionH>
                <wp:positionV relativeFrom="paragraph">
                  <wp:posOffset>144780</wp:posOffset>
                </wp:positionV>
                <wp:extent cx="457200" cy="6464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JBMA.png"/>
                        <pic:cNvPicPr/>
                      </pic:nvPicPr>
                      <pic:blipFill>
                        <a:blip r:embed="rId1" cstate="print">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457200" cy="646430"/>
                        </a:xfrm>
                        <a:prstGeom prst="rect">
                          <a:avLst/>
                        </a:prstGeom>
                      </pic:spPr>
                    </pic:pic>
                  </a:graphicData>
                </a:graphic>
                <wp14:sizeRelH relativeFrom="page">
                  <wp14:pctWidth>0</wp14:pctWidth>
                </wp14:sizeRelH>
                <wp14:sizeRelV relativeFrom="page">
                  <wp14:pctHeight>0</wp14:pctHeight>
                </wp14:sizeRelV>
              </wp:anchor>
            </w:drawing>
          </w:r>
        </w:p>
        <w:p w14:paraId="13BB0C67" w14:textId="73E4B6C5" w:rsidR="006967B4" w:rsidRDefault="00647641">
          <w:pPr>
            <w:jc w:val="center"/>
            <w:rPr>
              <w:rFonts w:ascii="Birch Std" w:eastAsia="Birch Std" w:hAnsi="Birch Std" w:cs="Birch Std"/>
              <w:b/>
              <w:sz w:val="26"/>
              <w:szCs w:val="26"/>
            </w:rPr>
          </w:pPr>
          <w:r w:rsidRPr="00647641">
            <w:rPr>
              <w:rFonts w:ascii="Birch Std" w:eastAsia="Birch Std" w:hAnsi="Birch Std" w:cs="Birch Std"/>
              <w:b/>
              <w:sz w:val="26"/>
              <w:szCs w:val="26"/>
            </w:rPr>
            <w:t>Journal of Business, Management, and Accounting</w:t>
          </w:r>
        </w:p>
        <w:p w14:paraId="09D78797" w14:textId="581DF645" w:rsidR="006967B4" w:rsidRDefault="006504D9">
          <w:pPr>
            <w:jc w:val="center"/>
            <w:rPr>
              <w:rFonts w:ascii="Cambria" w:eastAsia="Cambria" w:hAnsi="Cambria" w:cs="Cambria"/>
              <w:b/>
              <w:sz w:val="16"/>
              <w:szCs w:val="16"/>
            </w:rPr>
          </w:pPr>
          <w:proofErr w:type="spellStart"/>
          <w:r>
            <w:rPr>
              <w:rFonts w:ascii="Cambria" w:eastAsia="Cambria" w:hAnsi="Cambria" w:cs="Cambria"/>
              <w:sz w:val="16"/>
              <w:szCs w:val="16"/>
            </w:rPr>
            <w:t>Vol</w:t>
          </w:r>
          <w:proofErr w:type="spellEnd"/>
          <w:r>
            <w:rPr>
              <w:rFonts w:ascii="Cambria" w:eastAsia="Cambria" w:hAnsi="Cambria" w:cs="Cambria"/>
              <w:sz w:val="16"/>
              <w:szCs w:val="16"/>
            </w:rPr>
            <w:t xml:space="preserve"> </w:t>
          </w:r>
          <w:r w:rsidR="00827A67">
            <w:rPr>
              <w:rFonts w:ascii="Cambria" w:eastAsia="Cambria" w:hAnsi="Cambria" w:cs="Cambria"/>
              <w:sz w:val="16"/>
              <w:szCs w:val="16"/>
            </w:rPr>
            <w:t>1</w:t>
          </w:r>
          <w:r>
            <w:rPr>
              <w:rFonts w:ascii="Cambria" w:eastAsia="Cambria" w:hAnsi="Cambria" w:cs="Cambria"/>
              <w:sz w:val="16"/>
              <w:szCs w:val="16"/>
            </w:rPr>
            <w:t xml:space="preserve"> No </w:t>
          </w:r>
          <w:r w:rsidR="00827A67">
            <w:rPr>
              <w:rFonts w:ascii="Cambria" w:eastAsia="Cambria" w:hAnsi="Cambria" w:cs="Cambria"/>
              <w:sz w:val="16"/>
              <w:szCs w:val="16"/>
            </w:rPr>
            <w:t>1</w:t>
          </w:r>
          <w:r>
            <w:rPr>
              <w:rFonts w:ascii="Cambria" w:eastAsia="Cambria" w:hAnsi="Cambria" w:cs="Cambria"/>
              <w:sz w:val="16"/>
              <w:szCs w:val="16"/>
            </w:rPr>
            <w:t xml:space="preserve"> </w:t>
          </w:r>
          <w:proofErr w:type="spellStart"/>
          <w:r w:rsidR="00827A67">
            <w:rPr>
              <w:rFonts w:ascii="Cambria" w:eastAsia="Cambria" w:hAnsi="Cambria" w:cs="Cambria"/>
              <w:sz w:val="16"/>
              <w:szCs w:val="16"/>
            </w:rPr>
            <w:t>Januari</w:t>
          </w:r>
          <w:proofErr w:type="spellEnd"/>
          <w:r>
            <w:rPr>
              <w:rFonts w:ascii="Cambria" w:eastAsia="Cambria" w:hAnsi="Cambria" w:cs="Cambria"/>
              <w:sz w:val="16"/>
              <w:szCs w:val="16"/>
            </w:rPr>
            <w:t xml:space="preserve"> </w:t>
          </w:r>
          <w:r w:rsidR="00827A67">
            <w:rPr>
              <w:rFonts w:ascii="Cambria" w:eastAsia="Cambria" w:hAnsi="Cambria" w:cs="Cambria"/>
              <w:sz w:val="16"/>
              <w:szCs w:val="16"/>
            </w:rPr>
            <w:t>2025</w:t>
          </w:r>
        </w:p>
        <w:p w14:paraId="2C7959DD" w14:textId="77777777" w:rsidR="006967B4" w:rsidRDefault="006504D9">
          <w:pPr>
            <w:jc w:val="center"/>
            <w:rPr>
              <w:rFonts w:ascii="Cambria" w:eastAsia="Cambria" w:hAnsi="Cambria" w:cs="Cambria"/>
              <w:sz w:val="16"/>
              <w:szCs w:val="16"/>
            </w:rPr>
          </w:pPr>
          <w:r>
            <w:rPr>
              <w:rFonts w:ascii="Cambria" w:eastAsia="Cambria" w:hAnsi="Cambria" w:cs="Cambria"/>
              <w:sz w:val="16"/>
              <w:szCs w:val="16"/>
            </w:rPr>
            <w:t>ISSN: XXXX-XXXX (Electronic)</w:t>
          </w:r>
        </w:p>
        <w:p w14:paraId="46793AFE" w14:textId="00A4DDEE" w:rsidR="006967B4" w:rsidRDefault="006504D9">
          <w:pPr>
            <w:widowControl w:val="0"/>
            <w:tabs>
              <w:tab w:val="left" w:pos="1439"/>
            </w:tabs>
            <w:spacing w:after="120"/>
            <w:ind w:right="6"/>
            <w:jc w:val="center"/>
            <w:rPr>
              <w:sz w:val="16"/>
              <w:szCs w:val="16"/>
            </w:rPr>
          </w:pPr>
          <w:r>
            <w:rPr>
              <w:rFonts w:ascii="Cambria" w:eastAsia="Cambria" w:hAnsi="Cambria" w:cs="Cambria"/>
              <w:sz w:val="16"/>
              <w:szCs w:val="16"/>
            </w:rPr>
            <w:t xml:space="preserve">Open Access:   </w:t>
          </w:r>
          <w:r w:rsidR="00647641" w:rsidRPr="00647641">
            <w:rPr>
              <w:rFonts w:ascii="Cambria" w:eastAsia="Cambria" w:hAnsi="Cambria" w:cs="Cambria"/>
              <w:sz w:val="16"/>
              <w:szCs w:val="16"/>
            </w:rPr>
            <w:t>https://journals.ai-mrc.com/jbma</w:t>
          </w:r>
        </w:p>
      </w:tc>
    </w:tr>
    <w:bookmarkEnd w:id="2"/>
  </w:tbl>
  <w:p w14:paraId="2552A176" w14:textId="77777777" w:rsidR="006967B4" w:rsidRDefault="006967B4">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36D1A"/>
    <w:multiLevelType w:val="multilevel"/>
    <w:tmpl w:val="93F6CA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302F58"/>
    <w:multiLevelType w:val="multilevel"/>
    <w:tmpl w:val="08A646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967B4"/>
    <w:rsid w:val="00031BA5"/>
    <w:rsid w:val="000D507E"/>
    <w:rsid w:val="001115C3"/>
    <w:rsid w:val="00200AEB"/>
    <w:rsid w:val="002767A9"/>
    <w:rsid w:val="00301AC2"/>
    <w:rsid w:val="00381D98"/>
    <w:rsid w:val="00446BF4"/>
    <w:rsid w:val="004F717C"/>
    <w:rsid w:val="00520DE7"/>
    <w:rsid w:val="005E15D4"/>
    <w:rsid w:val="005F3A3B"/>
    <w:rsid w:val="00647641"/>
    <w:rsid w:val="006504D9"/>
    <w:rsid w:val="00684BC2"/>
    <w:rsid w:val="006967B4"/>
    <w:rsid w:val="006C4BF7"/>
    <w:rsid w:val="00766B59"/>
    <w:rsid w:val="007E34FE"/>
    <w:rsid w:val="008026B4"/>
    <w:rsid w:val="0081500A"/>
    <w:rsid w:val="00827A67"/>
    <w:rsid w:val="00837A15"/>
    <w:rsid w:val="00885E6C"/>
    <w:rsid w:val="009A604E"/>
    <w:rsid w:val="009B48D5"/>
    <w:rsid w:val="00A86DC6"/>
    <w:rsid w:val="00AB5012"/>
    <w:rsid w:val="00AD746E"/>
    <w:rsid w:val="00B04279"/>
    <w:rsid w:val="00BF1976"/>
    <w:rsid w:val="00C667AF"/>
    <w:rsid w:val="00C769CB"/>
    <w:rsid w:val="00D075A1"/>
    <w:rsid w:val="00D44B90"/>
    <w:rsid w:val="00D47265"/>
    <w:rsid w:val="00E878B7"/>
    <w:rsid w:val="00EA14EE"/>
    <w:rsid w:val="00EB5A77"/>
    <w:rsid w:val="00F70A4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8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2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550D2D"/>
    <w:rPr>
      <w:color w:val="0000FF"/>
      <w:u w:val="single"/>
    </w:rPr>
  </w:style>
  <w:style w:type="paragraph" w:customStyle="1" w:styleId="TableParagraph">
    <w:name w:val="Table Paragraph"/>
    <w:basedOn w:val="Normal"/>
    <w:uiPriority w:val="1"/>
    <w:qFormat/>
    <w:rsid w:val="00550D2D"/>
    <w:pPr>
      <w:widowControl w:val="0"/>
      <w:autoSpaceDE w:val="0"/>
      <w:autoSpaceDN w:val="0"/>
    </w:pPr>
    <w:rPr>
      <w:lang w:val="id"/>
    </w:rPr>
  </w:style>
  <w:style w:type="paragraph" w:styleId="Footer">
    <w:name w:val="footer"/>
    <w:basedOn w:val="Normal"/>
    <w:link w:val="FooterChar"/>
    <w:uiPriority w:val="99"/>
    <w:unhideWhenUsed/>
    <w:rsid w:val="00550D2D"/>
    <w:pPr>
      <w:tabs>
        <w:tab w:val="center" w:pos="4513"/>
        <w:tab w:val="right" w:pos="9026"/>
      </w:tabs>
    </w:pPr>
  </w:style>
  <w:style w:type="character" w:customStyle="1" w:styleId="FooterChar">
    <w:name w:val="Footer Char"/>
    <w:basedOn w:val="DefaultParagraphFont"/>
    <w:link w:val="Footer"/>
    <w:uiPriority w:val="99"/>
    <w:rsid w:val="00550D2D"/>
    <w:rPr>
      <w:rFonts w:ascii="Times New Roman" w:hAnsi="Times New Roman"/>
      <w:sz w:val="24"/>
      <w:lang w:val="en-ID"/>
    </w:rPr>
  </w:style>
  <w:style w:type="paragraph" w:styleId="Header">
    <w:name w:val="header"/>
    <w:basedOn w:val="Normal"/>
    <w:link w:val="HeaderChar"/>
    <w:uiPriority w:val="99"/>
    <w:unhideWhenUsed/>
    <w:rsid w:val="00550D2D"/>
    <w:pPr>
      <w:tabs>
        <w:tab w:val="center" w:pos="4513"/>
        <w:tab w:val="right" w:pos="9026"/>
      </w:tabs>
    </w:pPr>
  </w:style>
  <w:style w:type="character" w:customStyle="1" w:styleId="HeaderChar">
    <w:name w:val="Header Char"/>
    <w:basedOn w:val="DefaultParagraphFont"/>
    <w:link w:val="Header"/>
    <w:uiPriority w:val="99"/>
    <w:rsid w:val="00550D2D"/>
    <w:rPr>
      <w:rFonts w:ascii="Times New Roman" w:hAnsi="Times New Roman"/>
      <w:sz w:val="24"/>
      <w:lang w:val="en-ID"/>
    </w:rPr>
  </w:style>
  <w:style w:type="table" w:customStyle="1" w:styleId="TableGrid1">
    <w:name w:val="Table Grid1"/>
    <w:basedOn w:val="TableNormal"/>
    <w:next w:val="TableGrid"/>
    <w:rsid w:val="00550D2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550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2F4CDB"/>
    <w:rPr>
      <w:color w:val="605E5C"/>
      <w:shd w:val="clear" w:color="auto" w:fill="E1DFDD"/>
    </w:rPr>
  </w:style>
  <w:style w:type="paragraph" w:styleId="NormalWeb">
    <w:name w:val="Normal (Web)"/>
    <w:basedOn w:val="Normal"/>
    <w:uiPriority w:val="99"/>
    <w:semiHidden/>
    <w:unhideWhenUsed/>
    <w:rsid w:val="002F4CDB"/>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15F4D"/>
    <w:rPr>
      <w:rFonts w:ascii="Tahoma" w:hAnsi="Tahoma" w:cs="Tahoma"/>
      <w:sz w:val="16"/>
      <w:szCs w:val="16"/>
    </w:rPr>
  </w:style>
  <w:style w:type="character" w:customStyle="1" w:styleId="BalloonTextChar">
    <w:name w:val="Balloon Text Char"/>
    <w:basedOn w:val="DefaultParagraphFont"/>
    <w:link w:val="BalloonText"/>
    <w:uiPriority w:val="99"/>
    <w:semiHidden/>
    <w:rsid w:val="00E15F4D"/>
    <w:rPr>
      <w:rFonts w:ascii="Tahoma" w:hAnsi="Tahoma" w:cs="Tahoma"/>
      <w:sz w:val="16"/>
      <w:szCs w:val="16"/>
    </w:rPr>
  </w:style>
  <w:style w:type="table" w:customStyle="1" w:styleId="a3">
    <w:basedOn w:val="TableNormal"/>
    <w:rPr>
      <w:sz w:val="20"/>
      <w:szCs w:val="20"/>
    </w:rPr>
    <w:tblPr>
      <w:tblStyleRowBandSize w:val="1"/>
      <w:tblStyleColBandSize w:val="1"/>
      <w:tblInd w:w="0" w:type="dxa"/>
      <w:tblCellMar>
        <w:top w:w="0" w:type="dxa"/>
        <w:left w:w="0" w:type="dxa"/>
        <w:bottom w:w="0" w:type="dxa"/>
        <w:right w:w="0" w:type="dxa"/>
      </w:tblCellMar>
    </w:tblPr>
  </w:style>
  <w:style w:type="table" w:customStyle="1" w:styleId="a4">
    <w:basedOn w:val="TableNormal"/>
    <w:rPr>
      <w:sz w:val="20"/>
      <w:szCs w:val="20"/>
    </w:rPr>
    <w:tblPr>
      <w:tblStyleRowBandSize w:val="1"/>
      <w:tblStyleColBandSize w:val="1"/>
      <w:tblInd w:w="0" w:type="dxa"/>
      <w:tblCellMar>
        <w:top w:w="0" w:type="dxa"/>
        <w:left w:w="0" w:type="dxa"/>
        <w:bottom w:w="0" w:type="dxa"/>
        <w:right w:w="0" w:type="dxa"/>
      </w:tblCellMar>
    </w:tblPr>
  </w:style>
  <w:style w:type="table" w:customStyle="1" w:styleId="a5">
    <w:basedOn w:val="TableNormal"/>
    <w:rPr>
      <w:sz w:val="20"/>
      <w:szCs w:val="20"/>
    </w:rPr>
    <w:tblPr>
      <w:tblStyleRowBandSize w:val="1"/>
      <w:tblStyleColBandSize w:val="1"/>
      <w:tblInd w:w="0" w:type="dxa"/>
      <w:tblCellMar>
        <w:top w:w="0" w:type="dxa"/>
        <w:left w:w="0" w:type="dxa"/>
        <w:bottom w:w="0" w:type="dxa"/>
        <w:right w:w="0" w:type="dxa"/>
      </w:tblCellMar>
    </w:tblPr>
  </w:style>
  <w:style w:type="table" w:customStyle="1" w:styleId="a6">
    <w:basedOn w:val="TableNormal"/>
    <w:rPr>
      <w:sz w:val="20"/>
      <w:szCs w:val="20"/>
    </w:rPr>
    <w:tblPr>
      <w:tblStyleRowBandSize w:val="1"/>
      <w:tblStyleColBandSize w:val="1"/>
      <w:tblInd w:w="0" w:type="dxa"/>
      <w:tblCellMar>
        <w:top w:w="0" w:type="dxa"/>
        <w:left w:w="0" w:type="dxa"/>
        <w:bottom w:w="0" w:type="dxa"/>
        <w:right w:w="0" w:type="dxa"/>
      </w:tblCellMar>
    </w:tblPr>
  </w:style>
  <w:style w:type="character" w:styleId="Strong">
    <w:name w:val="Strong"/>
    <w:basedOn w:val="DefaultParagraphFont"/>
    <w:uiPriority w:val="22"/>
    <w:qFormat/>
    <w:rsid w:val="00E878B7"/>
    <w:rPr>
      <w:b/>
      <w:bCs/>
    </w:rPr>
  </w:style>
  <w:style w:type="paragraph" w:styleId="Bibliography">
    <w:name w:val="Bibliography"/>
    <w:basedOn w:val="Normal"/>
    <w:next w:val="Normal"/>
    <w:uiPriority w:val="37"/>
    <w:unhideWhenUsed/>
    <w:rsid w:val="00AD746E"/>
    <w:pPr>
      <w:spacing w:line="480" w:lineRule="auto"/>
      <w:ind w:left="720" w:hanging="720"/>
    </w:pPr>
  </w:style>
  <w:style w:type="character" w:styleId="CommentReference">
    <w:name w:val="annotation reference"/>
    <w:basedOn w:val="DefaultParagraphFont"/>
    <w:uiPriority w:val="99"/>
    <w:semiHidden/>
    <w:unhideWhenUsed/>
    <w:rsid w:val="00A86DC6"/>
    <w:rPr>
      <w:sz w:val="16"/>
      <w:szCs w:val="16"/>
    </w:rPr>
  </w:style>
  <w:style w:type="paragraph" w:styleId="CommentText">
    <w:name w:val="annotation text"/>
    <w:basedOn w:val="Normal"/>
    <w:link w:val="CommentTextChar"/>
    <w:uiPriority w:val="99"/>
    <w:semiHidden/>
    <w:unhideWhenUsed/>
    <w:rsid w:val="00A86DC6"/>
    <w:rPr>
      <w:sz w:val="20"/>
      <w:szCs w:val="20"/>
    </w:rPr>
  </w:style>
  <w:style w:type="character" w:customStyle="1" w:styleId="CommentTextChar">
    <w:name w:val="Comment Text Char"/>
    <w:basedOn w:val="DefaultParagraphFont"/>
    <w:link w:val="CommentText"/>
    <w:uiPriority w:val="99"/>
    <w:semiHidden/>
    <w:rsid w:val="00A86DC6"/>
    <w:rPr>
      <w:sz w:val="20"/>
      <w:szCs w:val="20"/>
    </w:rPr>
  </w:style>
  <w:style w:type="paragraph" w:styleId="CommentSubject">
    <w:name w:val="annotation subject"/>
    <w:basedOn w:val="CommentText"/>
    <w:next w:val="CommentText"/>
    <w:link w:val="CommentSubjectChar"/>
    <w:uiPriority w:val="99"/>
    <w:semiHidden/>
    <w:unhideWhenUsed/>
    <w:rsid w:val="00A86DC6"/>
    <w:rPr>
      <w:b/>
      <w:bCs/>
    </w:rPr>
  </w:style>
  <w:style w:type="character" w:customStyle="1" w:styleId="CommentSubjectChar">
    <w:name w:val="Comment Subject Char"/>
    <w:basedOn w:val="CommentTextChar"/>
    <w:link w:val="CommentSubject"/>
    <w:uiPriority w:val="99"/>
    <w:semiHidden/>
    <w:rsid w:val="00A86DC6"/>
    <w:rPr>
      <w:b/>
      <w:bCs/>
      <w:sz w:val="20"/>
      <w:szCs w:val="20"/>
    </w:rPr>
  </w:style>
  <w:style w:type="paragraph" w:styleId="Revision">
    <w:name w:val="Revision"/>
    <w:hidden/>
    <w:uiPriority w:val="99"/>
    <w:semiHidden/>
    <w:rsid w:val="009A604E"/>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2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550D2D"/>
    <w:rPr>
      <w:color w:val="0000FF"/>
      <w:u w:val="single"/>
    </w:rPr>
  </w:style>
  <w:style w:type="paragraph" w:customStyle="1" w:styleId="TableParagraph">
    <w:name w:val="Table Paragraph"/>
    <w:basedOn w:val="Normal"/>
    <w:uiPriority w:val="1"/>
    <w:qFormat/>
    <w:rsid w:val="00550D2D"/>
    <w:pPr>
      <w:widowControl w:val="0"/>
      <w:autoSpaceDE w:val="0"/>
      <w:autoSpaceDN w:val="0"/>
    </w:pPr>
    <w:rPr>
      <w:lang w:val="id"/>
    </w:rPr>
  </w:style>
  <w:style w:type="paragraph" w:styleId="Footer">
    <w:name w:val="footer"/>
    <w:basedOn w:val="Normal"/>
    <w:link w:val="FooterChar"/>
    <w:uiPriority w:val="99"/>
    <w:unhideWhenUsed/>
    <w:rsid w:val="00550D2D"/>
    <w:pPr>
      <w:tabs>
        <w:tab w:val="center" w:pos="4513"/>
        <w:tab w:val="right" w:pos="9026"/>
      </w:tabs>
    </w:pPr>
  </w:style>
  <w:style w:type="character" w:customStyle="1" w:styleId="FooterChar">
    <w:name w:val="Footer Char"/>
    <w:basedOn w:val="DefaultParagraphFont"/>
    <w:link w:val="Footer"/>
    <w:uiPriority w:val="99"/>
    <w:rsid w:val="00550D2D"/>
    <w:rPr>
      <w:rFonts w:ascii="Times New Roman" w:hAnsi="Times New Roman"/>
      <w:sz w:val="24"/>
      <w:lang w:val="en-ID"/>
    </w:rPr>
  </w:style>
  <w:style w:type="paragraph" w:styleId="Header">
    <w:name w:val="header"/>
    <w:basedOn w:val="Normal"/>
    <w:link w:val="HeaderChar"/>
    <w:uiPriority w:val="99"/>
    <w:unhideWhenUsed/>
    <w:rsid w:val="00550D2D"/>
    <w:pPr>
      <w:tabs>
        <w:tab w:val="center" w:pos="4513"/>
        <w:tab w:val="right" w:pos="9026"/>
      </w:tabs>
    </w:pPr>
  </w:style>
  <w:style w:type="character" w:customStyle="1" w:styleId="HeaderChar">
    <w:name w:val="Header Char"/>
    <w:basedOn w:val="DefaultParagraphFont"/>
    <w:link w:val="Header"/>
    <w:uiPriority w:val="99"/>
    <w:rsid w:val="00550D2D"/>
    <w:rPr>
      <w:rFonts w:ascii="Times New Roman" w:hAnsi="Times New Roman"/>
      <w:sz w:val="24"/>
      <w:lang w:val="en-ID"/>
    </w:rPr>
  </w:style>
  <w:style w:type="table" w:customStyle="1" w:styleId="TableGrid1">
    <w:name w:val="Table Grid1"/>
    <w:basedOn w:val="TableNormal"/>
    <w:next w:val="TableGrid"/>
    <w:rsid w:val="00550D2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550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2F4CDB"/>
    <w:rPr>
      <w:color w:val="605E5C"/>
      <w:shd w:val="clear" w:color="auto" w:fill="E1DFDD"/>
    </w:rPr>
  </w:style>
  <w:style w:type="paragraph" w:styleId="NormalWeb">
    <w:name w:val="Normal (Web)"/>
    <w:basedOn w:val="Normal"/>
    <w:uiPriority w:val="99"/>
    <w:semiHidden/>
    <w:unhideWhenUsed/>
    <w:rsid w:val="002F4CDB"/>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15F4D"/>
    <w:rPr>
      <w:rFonts w:ascii="Tahoma" w:hAnsi="Tahoma" w:cs="Tahoma"/>
      <w:sz w:val="16"/>
      <w:szCs w:val="16"/>
    </w:rPr>
  </w:style>
  <w:style w:type="character" w:customStyle="1" w:styleId="BalloonTextChar">
    <w:name w:val="Balloon Text Char"/>
    <w:basedOn w:val="DefaultParagraphFont"/>
    <w:link w:val="BalloonText"/>
    <w:uiPriority w:val="99"/>
    <w:semiHidden/>
    <w:rsid w:val="00E15F4D"/>
    <w:rPr>
      <w:rFonts w:ascii="Tahoma" w:hAnsi="Tahoma" w:cs="Tahoma"/>
      <w:sz w:val="16"/>
      <w:szCs w:val="16"/>
    </w:rPr>
  </w:style>
  <w:style w:type="table" w:customStyle="1" w:styleId="a3">
    <w:basedOn w:val="TableNormal"/>
    <w:rPr>
      <w:sz w:val="20"/>
      <w:szCs w:val="20"/>
    </w:rPr>
    <w:tblPr>
      <w:tblStyleRowBandSize w:val="1"/>
      <w:tblStyleColBandSize w:val="1"/>
      <w:tblInd w:w="0" w:type="dxa"/>
      <w:tblCellMar>
        <w:top w:w="0" w:type="dxa"/>
        <w:left w:w="0" w:type="dxa"/>
        <w:bottom w:w="0" w:type="dxa"/>
        <w:right w:w="0" w:type="dxa"/>
      </w:tblCellMar>
    </w:tblPr>
  </w:style>
  <w:style w:type="table" w:customStyle="1" w:styleId="a4">
    <w:basedOn w:val="TableNormal"/>
    <w:rPr>
      <w:sz w:val="20"/>
      <w:szCs w:val="20"/>
    </w:rPr>
    <w:tblPr>
      <w:tblStyleRowBandSize w:val="1"/>
      <w:tblStyleColBandSize w:val="1"/>
      <w:tblInd w:w="0" w:type="dxa"/>
      <w:tblCellMar>
        <w:top w:w="0" w:type="dxa"/>
        <w:left w:w="0" w:type="dxa"/>
        <w:bottom w:w="0" w:type="dxa"/>
        <w:right w:w="0" w:type="dxa"/>
      </w:tblCellMar>
    </w:tblPr>
  </w:style>
  <w:style w:type="table" w:customStyle="1" w:styleId="a5">
    <w:basedOn w:val="TableNormal"/>
    <w:rPr>
      <w:sz w:val="20"/>
      <w:szCs w:val="20"/>
    </w:rPr>
    <w:tblPr>
      <w:tblStyleRowBandSize w:val="1"/>
      <w:tblStyleColBandSize w:val="1"/>
      <w:tblInd w:w="0" w:type="dxa"/>
      <w:tblCellMar>
        <w:top w:w="0" w:type="dxa"/>
        <w:left w:w="0" w:type="dxa"/>
        <w:bottom w:w="0" w:type="dxa"/>
        <w:right w:w="0" w:type="dxa"/>
      </w:tblCellMar>
    </w:tblPr>
  </w:style>
  <w:style w:type="table" w:customStyle="1" w:styleId="a6">
    <w:basedOn w:val="TableNormal"/>
    <w:rPr>
      <w:sz w:val="20"/>
      <w:szCs w:val="20"/>
    </w:rPr>
    <w:tblPr>
      <w:tblStyleRowBandSize w:val="1"/>
      <w:tblStyleColBandSize w:val="1"/>
      <w:tblInd w:w="0" w:type="dxa"/>
      <w:tblCellMar>
        <w:top w:w="0" w:type="dxa"/>
        <w:left w:w="0" w:type="dxa"/>
        <w:bottom w:w="0" w:type="dxa"/>
        <w:right w:w="0" w:type="dxa"/>
      </w:tblCellMar>
    </w:tblPr>
  </w:style>
  <w:style w:type="character" w:styleId="Strong">
    <w:name w:val="Strong"/>
    <w:basedOn w:val="DefaultParagraphFont"/>
    <w:uiPriority w:val="22"/>
    <w:qFormat/>
    <w:rsid w:val="00E878B7"/>
    <w:rPr>
      <w:b/>
      <w:bCs/>
    </w:rPr>
  </w:style>
  <w:style w:type="paragraph" w:styleId="Bibliography">
    <w:name w:val="Bibliography"/>
    <w:basedOn w:val="Normal"/>
    <w:next w:val="Normal"/>
    <w:uiPriority w:val="37"/>
    <w:unhideWhenUsed/>
    <w:rsid w:val="00AD746E"/>
    <w:pPr>
      <w:spacing w:line="480" w:lineRule="auto"/>
      <w:ind w:left="720" w:hanging="720"/>
    </w:pPr>
  </w:style>
  <w:style w:type="character" w:styleId="CommentReference">
    <w:name w:val="annotation reference"/>
    <w:basedOn w:val="DefaultParagraphFont"/>
    <w:uiPriority w:val="99"/>
    <w:semiHidden/>
    <w:unhideWhenUsed/>
    <w:rsid w:val="00A86DC6"/>
    <w:rPr>
      <w:sz w:val="16"/>
      <w:szCs w:val="16"/>
    </w:rPr>
  </w:style>
  <w:style w:type="paragraph" w:styleId="CommentText">
    <w:name w:val="annotation text"/>
    <w:basedOn w:val="Normal"/>
    <w:link w:val="CommentTextChar"/>
    <w:uiPriority w:val="99"/>
    <w:semiHidden/>
    <w:unhideWhenUsed/>
    <w:rsid w:val="00A86DC6"/>
    <w:rPr>
      <w:sz w:val="20"/>
      <w:szCs w:val="20"/>
    </w:rPr>
  </w:style>
  <w:style w:type="character" w:customStyle="1" w:styleId="CommentTextChar">
    <w:name w:val="Comment Text Char"/>
    <w:basedOn w:val="DefaultParagraphFont"/>
    <w:link w:val="CommentText"/>
    <w:uiPriority w:val="99"/>
    <w:semiHidden/>
    <w:rsid w:val="00A86DC6"/>
    <w:rPr>
      <w:sz w:val="20"/>
      <w:szCs w:val="20"/>
    </w:rPr>
  </w:style>
  <w:style w:type="paragraph" w:styleId="CommentSubject">
    <w:name w:val="annotation subject"/>
    <w:basedOn w:val="CommentText"/>
    <w:next w:val="CommentText"/>
    <w:link w:val="CommentSubjectChar"/>
    <w:uiPriority w:val="99"/>
    <w:semiHidden/>
    <w:unhideWhenUsed/>
    <w:rsid w:val="00A86DC6"/>
    <w:rPr>
      <w:b/>
      <w:bCs/>
    </w:rPr>
  </w:style>
  <w:style w:type="character" w:customStyle="1" w:styleId="CommentSubjectChar">
    <w:name w:val="Comment Subject Char"/>
    <w:basedOn w:val="CommentTextChar"/>
    <w:link w:val="CommentSubject"/>
    <w:uiPriority w:val="99"/>
    <w:semiHidden/>
    <w:rsid w:val="00A86DC6"/>
    <w:rPr>
      <w:b/>
      <w:bCs/>
      <w:sz w:val="20"/>
      <w:szCs w:val="20"/>
    </w:rPr>
  </w:style>
  <w:style w:type="paragraph" w:styleId="Revision">
    <w:name w:val="Revision"/>
    <w:hidden/>
    <w:uiPriority w:val="99"/>
    <w:semiHidden/>
    <w:rsid w:val="009A604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790497">
      <w:bodyDiv w:val="1"/>
      <w:marLeft w:val="0"/>
      <w:marRight w:val="0"/>
      <w:marTop w:val="0"/>
      <w:marBottom w:val="0"/>
      <w:divBdr>
        <w:top w:val="none" w:sz="0" w:space="0" w:color="auto"/>
        <w:left w:val="none" w:sz="0" w:space="0" w:color="auto"/>
        <w:bottom w:val="none" w:sz="0" w:space="0" w:color="auto"/>
        <w:right w:val="none" w:sz="0" w:space="0" w:color="auto"/>
      </w:divBdr>
    </w:div>
    <w:div w:id="411700469">
      <w:bodyDiv w:val="1"/>
      <w:marLeft w:val="0"/>
      <w:marRight w:val="0"/>
      <w:marTop w:val="0"/>
      <w:marBottom w:val="0"/>
      <w:divBdr>
        <w:top w:val="none" w:sz="0" w:space="0" w:color="auto"/>
        <w:left w:val="none" w:sz="0" w:space="0" w:color="auto"/>
        <w:bottom w:val="none" w:sz="0" w:space="0" w:color="auto"/>
        <w:right w:val="none" w:sz="0" w:space="0" w:color="auto"/>
      </w:divBdr>
    </w:div>
    <w:div w:id="1351830197">
      <w:bodyDiv w:val="1"/>
      <w:marLeft w:val="0"/>
      <w:marRight w:val="0"/>
      <w:marTop w:val="0"/>
      <w:marBottom w:val="0"/>
      <w:divBdr>
        <w:top w:val="none" w:sz="0" w:space="0" w:color="auto"/>
        <w:left w:val="none" w:sz="0" w:space="0" w:color="auto"/>
        <w:bottom w:val="none" w:sz="0" w:space="0" w:color="auto"/>
        <w:right w:val="none" w:sz="0" w:space="0" w:color="auto"/>
      </w:divBdr>
    </w:div>
    <w:div w:id="1454322977">
      <w:bodyDiv w:val="1"/>
      <w:marLeft w:val="0"/>
      <w:marRight w:val="0"/>
      <w:marTop w:val="0"/>
      <w:marBottom w:val="0"/>
      <w:divBdr>
        <w:top w:val="none" w:sz="0" w:space="0" w:color="auto"/>
        <w:left w:val="none" w:sz="0" w:space="0" w:color="auto"/>
        <w:bottom w:val="none" w:sz="0" w:space="0" w:color="auto"/>
        <w:right w:val="none" w:sz="0" w:space="0" w:color="auto"/>
      </w:divBdr>
    </w:div>
    <w:div w:id="2032221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sep.research@untirta.ac.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eB0+Kq7mv1YFKdn+gQYt9vtCtw==">CgMxLjAaEgoBMBINCgsIB0IHEgVDYXJkbxoSCgExEg0KCwgHQgcSBUNhcmRvGhIKATISDQoLCAdCBxIFQ2FyZG8aEgoBMxINCgsIB0IHEgVDYXJkbxoSCgE0Eg0KCwgHQgcSBUNhcmRvGhIKATUSDQoLCAdCBxIFQ2FyZG8yCWguMWZvYjl0ZTIIaC5namRneHMyCWguMzBqMHpsbDgAciExOXB0bDVOS3o0V05vQWh3eTVTZXZDVE96VHdoTDRuYm4=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13688</Words>
  <Characters>78028</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10</cp:revision>
  <cp:lastPrinted>2025-04-11T03:56:00Z</cp:lastPrinted>
  <dcterms:created xsi:type="dcterms:W3CDTF">2025-01-02T02:41:00Z</dcterms:created>
  <dcterms:modified xsi:type="dcterms:W3CDTF">2025-04-11T03:56:00Z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id="MwnW11Qe"/&gt;&lt;style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